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4C54AB">
      <w:pPr>
        <w:keepNext w:val="0"/>
        <w:keepLines w:val="0"/>
        <w:widowControl w:val="0"/>
        <w:spacing w:before="260" w:after="260" w:line="415" w:lineRule="auto"/>
        <w:jc w:val="center"/>
        <w:outlineLvl w:val="1"/>
        <w:rPr>
          <w:rFonts w:hint="eastAsia" w:ascii="Arial" w:hAnsi="Arial" w:eastAsia="黑体" w:cs="Times New Roman"/>
          <w:b/>
          <w:bCs/>
          <w:color w:val="auto"/>
          <w:kern w:val="0"/>
          <w:sz w:val="30"/>
          <w:szCs w:val="30"/>
          <w:lang w:val="en-US" w:eastAsia="zh-CN" w:bidi="ar-SA"/>
        </w:rPr>
      </w:pPr>
      <w:r>
        <w:rPr>
          <w:rFonts w:hint="eastAsia" w:ascii="Arial" w:hAnsi="Arial" w:eastAsia="黑体" w:cs="Times New Roman"/>
          <w:b/>
          <w:bCs/>
          <w:color w:val="auto"/>
          <w:kern w:val="0"/>
          <w:sz w:val="32"/>
          <w:szCs w:val="32"/>
          <w:lang w:val="en-US" w:eastAsia="zh-CN" w:bidi="ar-SA"/>
        </w:rPr>
        <w:t>采购需求</w:t>
      </w:r>
    </w:p>
    <w:p w14:paraId="248B64A4">
      <w:pPr>
        <w:spacing w:line="360" w:lineRule="auto"/>
        <w:jc w:val="left"/>
        <w:rPr>
          <w:rFonts w:hint="eastAsia" w:ascii="宋体" w:cs="宋体"/>
          <w:color w:val="auto"/>
          <w:szCs w:val="21"/>
        </w:rPr>
      </w:pPr>
      <w:bookmarkStart w:id="0" w:name="_Toc254970631"/>
      <w:bookmarkStart w:id="1" w:name="_Toc254970490"/>
      <w:r>
        <w:rPr>
          <w:rFonts w:hint="eastAsia" w:ascii="宋体" w:cs="宋体"/>
          <w:color w:val="auto"/>
          <w:szCs w:val="21"/>
        </w:rPr>
        <w:t>说明：</w:t>
      </w:r>
    </w:p>
    <w:p w14:paraId="37BF4366">
      <w:pPr>
        <w:spacing w:line="360" w:lineRule="auto"/>
        <w:ind w:firstLine="420" w:firstLineChars="200"/>
        <w:jc w:val="left"/>
        <w:rPr>
          <w:rFonts w:hint="eastAsia" w:ascii="宋体"/>
          <w:color w:val="auto"/>
        </w:rPr>
      </w:pPr>
      <w:r>
        <w:rPr>
          <w:rFonts w:hint="eastAsia" w:ascii="宋体"/>
          <w:color w:val="auto"/>
        </w:rPr>
        <w:t>1.为落实政府采购政策需满足的要求</w:t>
      </w:r>
    </w:p>
    <w:p w14:paraId="786DCA4C">
      <w:pPr>
        <w:spacing w:line="360" w:lineRule="auto"/>
        <w:ind w:firstLine="420" w:firstLineChars="200"/>
        <w:jc w:val="left"/>
        <w:rPr>
          <w:rFonts w:hint="eastAsia" w:ascii="宋体" w:cs="宋体"/>
          <w:color w:val="auto"/>
          <w:szCs w:val="21"/>
        </w:rPr>
      </w:pPr>
      <w:r>
        <w:rPr>
          <w:rFonts w:hint="eastAsia" w:ascii="宋体" w:cs="宋体"/>
          <w:color w:val="auto"/>
          <w:szCs w:val="21"/>
        </w:rPr>
        <w:t>本招标文件所称中小企业必须符合《政府采购促进中小企业发展管理办法》（财库〔2020〕46号）的规定。</w:t>
      </w:r>
    </w:p>
    <w:p w14:paraId="5E6DDAA7">
      <w:pPr>
        <w:spacing w:line="360" w:lineRule="auto"/>
        <w:ind w:firstLine="424" w:firstLineChars="202"/>
        <w:jc w:val="left"/>
        <w:rPr>
          <w:rFonts w:hint="eastAsia" w:ascii="宋体" w:cs="宋体"/>
          <w:b/>
          <w:color w:val="auto"/>
          <w:szCs w:val="21"/>
        </w:rPr>
      </w:pPr>
      <w:r>
        <w:rPr>
          <w:rFonts w:hint="eastAsia" w:ascii="宋体" w:cs="宋体"/>
          <w:color w:val="auto"/>
          <w:szCs w:val="21"/>
        </w:rPr>
        <w:t>2.“实质性要求”是指招标文件中已经指明不满足则</w:t>
      </w:r>
      <w:bookmarkStart w:id="4" w:name="_GoBack"/>
      <w:bookmarkEnd w:id="4"/>
      <w:r>
        <w:rPr>
          <w:rFonts w:hint="eastAsia" w:ascii="宋体" w:cs="宋体"/>
          <w:color w:val="auto"/>
          <w:szCs w:val="21"/>
        </w:rPr>
        <w:t>投标无效的条款，或者不能负偏离的条款，或者采购需求中带“▲”的条款。</w:t>
      </w:r>
      <w:r>
        <w:rPr>
          <w:rFonts w:hint="eastAsia" w:ascii="宋体" w:cs="宋体"/>
          <w:b/>
          <w:color w:val="auto"/>
          <w:szCs w:val="21"/>
        </w:rPr>
        <w:t>本项目凡标注“▲”的条款或要求不响应或不满足的，投标文件即作无效处理。</w:t>
      </w:r>
    </w:p>
    <w:p w14:paraId="131EE561">
      <w:pPr>
        <w:spacing w:line="360" w:lineRule="auto"/>
        <w:ind w:firstLine="424" w:firstLineChars="202"/>
        <w:jc w:val="left"/>
        <w:rPr>
          <w:rFonts w:hint="eastAsia" w:ascii="宋体"/>
          <w:color w:val="auto"/>
        </w:rPr>
      </w:pPr>
      <w:r>
        <w:rPr>
          <w:rFonts w:hint="eastAsia" w:ascii="宋体" w:cs="宋体"/>
          <w:color w:val="auto"/>
          <w:szCs w:val="21"/>
        </w:rPr>
        <w:t>3.投标人应根据自身实际情况如实响应招标文件</w:t>
      </w:r>
      <w:r>
        <w:rPr>
          <w:rFonts w:hint="eastAsia" w:ascii="宋体"/>
          <w:color w:val="auto"/>
          <w:szCs w:val="21"/>
        </w:rPr>
        <w:t>，</w:t>
      </w:r>
      <w:r>
        <w:rPr>
          <w:rFonts w:hint="eastAsia" w:ascii="宋体"/>
          <w:color w:val="auto"/>
          <w:sz w:val="22"/>
          <w:szCs w:val="22"/>
        </w:rPr>
        <w:t>对招标文件提出的要求和条件作出明确响应，</w:t>
      </w:r>
      <w:r>
        <w:rPr>
          <w:rFonts w:hint="eastAsia" w:ascii="宋体"/>
          <w:b/>
          <w:bCs/>
          <w:color w:val="auto"/>
          <w:szCs w:val="21"/>
        </w:rPr>
        <w:t>否则将作无效响应处理</w:t>
      </w:r>
      <w:r>
        <w:rPr>
          <w:rFonts w:hint="eastAsia" w:ascii="宋体"/>
          <w:color w:val="auto"/>
          <w:szCs w:val="21"/>
        </w:rPr>
        <w:t>。</w:t>
      </w:r>
      <w:r>
        <w:rPr>
          <w:rFonts w:hint="eastAsia"/>
          <w:color w:val="auto"/>
        </w:rPr>
        <w:t>对于技术参数应当在投标文件中提供技术支持资料，技术支持资料以招标文件中规定的形式为准，</w:t>
      </w:r>
      <w:r>
        <w:rPr>
          <w:rFonts w:hint="eastAsia"/>
          <w:b/>
          <w:bCs/>
          <w:color w:val="auto"/>
        </w:rPr>
        <w:t>否则将视为无效技术支持资料</w:t>
      </w:r>
      <w:r>
        <w:rPr>
          <w:rFonts w:hint="eastAsia" w:ascii="宋体"/>
          <w:color w:val="auto"/>
        </w:rPr>
        <w:t>。</w:t>
      </w:r>
    </w:p>
    <w:p w14:paraId="46B5E466">
      <w:pPr>
        <w:spacing w:line="360" w:lineRule="auto"/>
        <w:ind w:firstLine="424" w:firstLineChars="202"/>
        <w:jc w:val="left"/>
        <w:rPr>
          <w:rFonts w:hint="eastAsia" w:ascii="宋体"/>
          <w:color w:val="auto"/>
        </w:rPr>
      </w:pPr>
      <w:r>
        <w:rPr>
          <w:rFonts w:hint="eastAsia" w:ascii="宋体" w:cs="宋体"/>
          <w:color w:val="auto"/>
          <w:szCs w:val="21"/>
        </w:rPr>
        <w:t>4.</w:t>
      </w:r>
      <w:r>
        <w:rPr>
          <w:rFonts w:hint="eastAsia" w:ascii="宋体"/>
          <w:color w:val="auto"/>
        </w:rPr>
        <w:t>投标人必须自行为其投标产品侵犯他人的知识产权或者专利成果的行为承担相应法律责任。</w:t>
      </w:r>
    </w:p>
    <w:p w14:paraId="7F005173">
      <w:pPr>
        <w:spacing w:line="380" w:lineRule="exact"/>
        <w:ind w:firstLine="424" w:firstLineChars="202"/>
        <w:jc w:val="left"/>
        <w:rPr>
          <w:rFonts w:hint="eastAsia" w:ascii="宋体"/>
          <w:color w:val="auto"/>
          <w:szCs w:val="21"/>
        </w:rPr>
      </w:pPr>
      <w:r>
        <w:rPr>
          <w:rFonts w:hint="eastAsia" w:ascii="宋体"/>
          <w:color w:val="auto"/>
          <w:szCs w:val="21"/>
        </w:rPr>
        <w:t>5.</w:t>
      </w:r>
      <w:r>
        <w:rPr>
          <w:rFonts w:hint="eastAsia" w:ascii="宋体"/>
          <w:b/>
          <w:color w:val="auto"/>
          <w:szCs w:val="21"/>
          <w:u w:val="single"/>
        </w:rPr>
        <w:t>评标委员会认为投标人的报价明显低于其他通过符合性审查投标人的报价，有可能影响其服务或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color w:val="auto"/>
          <w:szCs w:val="21"/>
        </w:rPr>
        <w:t>。</w:t>
      </w:r>
    </w:p>
    <w:p w14:paraId="66FEAAD3">
      <w:pPr>
        <w:spacing w:line="380" w:lineRule="exact"/>
        <w:ind w:firstLine="420" w:firstLineChars="200"/>
        <w:rPr>
          <w:rFonts w:hint="eastAsia" w:ascii="宋体"/>
          <w:b/>
          <w:color w:val="auto"/>
          <w:szCs w:val="21"/>
          <w:u w:val="single"/>
        </w:rPr>
      </w:pPr>
      <w:r>
        <w:rPr>
          <w:rFonts w:hint="eastAsia" w:ascii="宋体"/>
          <w:color w:val="auto"/>
          <w:szCs w:val="21"/>
        </w:rPr>
        <w:t>6.</w:t>
      </w:r>
      <w:r>
        <w:rPr>
          <w:rFonts w:hint="eastAsia" w:ascii="宋体"/>
          <w:b/>
          <w:color w:val="auto"/>
          <w:szCs w:val="21"/>
          <w:u w:val="single"/>
        </w:rPr>
        <w:t>本项目采购需求表中要求提供的证明文件材料或承诺书，请在《技术要求偏离表》或《商务要求偏离表》中应答时，注明相关文件材料或承诺书放置的页码。</w:t>
      </w:r>
    </w:p>
    <w:p w14:paraId="4755EEF5">
      <w:pPr>
        <w:spacing w:line="380" w:lineRule="exact"/>
        <w:ind w:firstLine="420" w:firstLineChars="200"/>
        <w:rPr>
          <w:rFonts w:hint="eastAsia" w:ascii="宋体"/>
          <w:color w:val="auto"/>
          <w:kern w:val="0"/>
          <w:szCs w:val="21"/>
        </w:rPr>
      </w:pPr>
      <w:r>
        <w:rPr>
          <w:rFonts w:hint="eastAsia" w:ascii="宋体"/>
          <w:color w:val="auto"/>
          <w:kern w:val="0"/>
          <w:szCs w:val="21"/>
        </w:rPr>
        <w:t>7.所属行业依照《中小企业划型标准规定》（工信部联企业〔2011〕300号）及《国民经济行业分类》（GB/T4754-2017）的有关规定执行。</w:t>
      </w:r>
    </w:p>
    <w:p w14:paraId="26A60E46">
      <w:pPr>
        <w:spacing w:line="380" w:lineRule="exact"/>
        <w:ind w:firstLine="422" w:firstLineChars="200"/>
        <w:rPr>
          <w:rFonts w:hint="eastAsia" w:ascii="宋体"/>
          <w:b/>
          <w:color w:val="auto"/>
          <w:szCs w:val="21"/>
          <w:u w:val="single"/>
        </w:rPr>
      </w:pPr>
      <w:r>
        <w:rPr>
          <w:rFonts w:hint="eastAsia" w:ascii="宋体"/>
          <w:b/>
          <w:color w:val="auto"/>
          <w:szCs w:val="21"/>
          <w:u w:val="single"/>
        </w:rPr>
        <w:t>8.本项目标的所属行业为：批发业。</w:t>
      </w:r>
    </w:p>
    <w:tbl>
      <w:tblPr>
        <w:tblStyle w:val="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9"/>
        <w:gridCol w:w="710"/>
        <w:gridCol w:w="838"/>
        <w:gridCol w:w="6295"/>
      </w:tblGrid>
      <w:tr w14:paraId="7CD66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28" w:type="dxa"/>
            <w:noWrap w:val="0"/>
            <w:vAlign w:val="center"/>
          </w:tcPr>
          <w:p w14:paraId="7EF984A3">
            <w:pPr>
              <w:spacing w:line="360" w:lineRule="exact"/>
              <w:jc w:val="center"/>
              <w:rPr>
                <w:rFonts w:hint="eastAsia" w:ascii="宋体"/>
                <w:color w:val="auto"/>
                <w:szCs w:val="21"/>
              </w:rPr>
            </w:pPr>
            <w:bookmarkStart w:id="2" w:name="_Hlk164840840" w:colFirst="0" w:colLast="1"/>
            <w:r>
              <w:rPr>
                <w:rFonts w:hint="eastAsia" w:ascii="宋体"/>
                <w:color w:val="auto"/>
                <w:szCs w:val="21"/>
              </w:rPr>
              <w:t>序号</w:t>
            </w:r>
          </w:p>
        </w:tc>
        <w:tc>
          <w:tcPr>
            <w:tcW w:w="763" w:type="dxa"/>
            <w:noWrap w:val="0"/>
            <w:vAlign w:val="center"/>
          </w:tcPr>
          <w:p w14:paraId="3DFB5A72">
            <w:pPr>
              <w:spacing w:line="360" w:lineRule="exact"/>
              <w:jc w:val="center"/>
              <w:rPr>
                <w:rFonts w:hint="eastAsia" w:ascii="宋体"/>
                <w:color w:val="auto"/>
                <w:szCs w:val="21"/>
              </w:rPr>
            </w:pPr>
            <w:r>
              <w:rPr>
                <w:rFonts w:hint="eastAsia" w:ascii="宋体"/>
                <w:color w:val="auto"/>
                <w:szCs w:val="21"/>
              </w:rPr>
              <w:t>标的名称</w:t>
            </w:r>
          </w:p>
        </w:tc>
        <w:tc>
          <w:tcPr>
            <w:tcW w:w="915" w:type="dxa"/>
            <w:noWrap w:val="0"/>
            <w:vAlign w:val="center"/>
          </w:tcPr>
          <w:p w14:paraId="71A56E5A">
            <w:pPr>
              <w:spacing w:line="360" w:lineRule="exact"/>
              <w:jc w:val="center"/>
              <w:rPr>
                <w:rFonts w:hint="eastAsia" w:ascii="宋体"/>
                <w:color w:val="auto"/>
                <w:szCs w:val="21"/>
              </w:rPr>
            </w:pPr>
            <w:r>
              <w:rPr>
                <w:rFonts w:hint="eastAsia" w:ascii="宋体"/>
                <w:color w:val="auto"/>
                <w:szCs w:val="21"/>
              </w:rPr>
              <w:t>数量及单位</w:t>
            </w:r>
          </w:p>
        </w:tc>
        <w:tc>
          <w:tcPr>
            <w:tcW w:w="7222" w:type="dxa"/>
            <w:noWrap w:val="0"/>
            <w:vAlign w:val="center"/>
          </w:tcPr>
          <w:p w14:paraId="24343D4A">
            <w:pPr>
              <w:spacing w:line="360" w:lineRule="exact"/>
              <w:jc w:val="center"/>
              <w:rPr>
                <w:rFonts w:hint="eastAsia" w:ascii="宋体"/>
                <w:color w:val="auto"/>
                <w:szCs w:val="21"/>
              </w:rPr>
            </w:pPr>
            <w:r>
              <w:rPr>
                <w:rFonts w:hint="eastAsia" w:ascii="宋体"/>
                <w:color w:val="auto"/>
                <w:szCs w:val="21"/>
              </w:rPr>
              <w:t>技术要求及需求</w:t>
            </w:r>
          </w:p>
        </w:tc>
      </w:tr>
      <w:tr w14:paraId="3EB2A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65768F31">
            <w:pPr>
              <w:spacing w:line="360" w:lineRule="exact"/>
              <w:jc w:val="center"/>
              <w:rPr>
                <w:rFonts w:hint="eastAsia" w:ascii="宋体"/>
                <w:color w:val="auto"/>
                <w:szCs w:val="21"/>
              </w:rPr>
            </w:pPr>
            <w:bookmarkStart w:id="3" w:name="_Hlk152682808" w:colFirst="0" w:colLast="4"/>
            <w:r>
              <w:rPr>
                <w:rFonts w:hint="eastAsia" w:ascii="宋体"/>
                <w:color w:val="auto"/>
                <w:szCs w:val="21"/>
              </w:rPr>
              <w:t>1</w:t>
            </w:r>
          </w:p>
        </w:tc>
        <w:tc>
          <w:tcPr>
            <w:tcW w:w="763" w:type="dxa"/>
            <w:noWrap w:val="0"/>
            <w:vAlign w:val="center"/>
          </w:tcPr>
          <w:p w14:paraId="7E93FEB4">
            <w:pPr>
              <w:snapToGrid w:val="0"/>
              <w:spacing w:line="360" w:lineRule="auto"/>
              <w:rPr>
                <w:rFonts w:hint="eastAsia" w:ascii="宋体"/>
                <w:color w:val="auto"/>
                <w:szCs w:val="21"/>
              </w:rPr>
            </w:pPr>
            <w:r>
              <w:rPr>
                <w:rFonts w:hint="eastAsia"/>
                <w:color w:val="auto"/>
              </w:rPr>
              <w:t>龙邦海关食堂食材配送服务</w:t>
            </w:r>
          </w:p>
        </w:tc>
        <w:tc>
          <w:tcPr>
            <w:tcW w:w="915" w:type="dxa"/>
            <w:noWrap w:val="0"/>
            <w:vAlign w:val="center"/>
          </w:tcPr>
          <w:p w14:paraId="18C499BE">
            <w:pPr>
              <w:widowControl w:val="0"/>
              <w:spacing w:line="500" w:lineRule="exact"/>
              <w:jc w:val="center"/>
              <w:rPr>
                <w:rFonts w:hint="eastAsia" w:ascii="宋体" w:hAnsi="Times New Roman" w:eastAsia="宋体" w:cs="仿宋_GB2312"/>
                <w:color w:val="auto"/>
                <w:kern w:val="2"/>
                <w:sz w:val="21"/>
                <w:szCs w:val="21"/>
                <w:lang w:val="en-US" w:eastAsia="zh-CN" w:bidi="ar-SA"/>
              </w:rPr>
            </w:pPr>
            <w:r>
              <w:rPr>
                <w:rFonts w:hint="eastAsia" w:ascii="宋体" w:hAnsi="Times New Roman" w:eastAsia="宋体" w:cs="Times New Roman"/>
                <w:color w:val="auto"/>
                <w:kern w:val="2"/>
                <w:sz w:val="21"/>
                <w:szCs w:val="21"/>
                <w:lang w:val="en-US" w:eastAsia="zh-CN" w:bidi="ar-SA"/>
              </w:rPr>
              <w:t>1项</w:t>
            </w:r>
          </w:p>
        </w:tc>
        <w:tc>
          <w:tcPr>
            <w:tcW w:w="7222" w:type="dxa"/>
            <w:noWrap w:val="0"/>
            <w:vAlign w:val="center"/>
          </w:tcPr>
          <w:p w14:paraId="6EF43781">
            <w:pPr>
              <w:ind w:firstLine="420" w:firstLineChars="200"/>
              <w:jc w:val="left"/>
              <w:rPr>
                <w:rFonts w:hint="eastAsia" w:ascii="宋体" w:cs="宋体"/>
                <w:color w:val="auto"/>
                <w:szCs w:val="21"/>
              </w:rPr>
            </w:pPr>
            <w:r>
              <w:rPr>
                <w:rFonts w:hint="eastAsia" w:ascii="宋体" w:cs="宋体"/>
                <w:color w:val="auto"/>
                <w:szCs w:val="21"/>
              </w:rPr>
              <w:t>一、项目基本情况：</w:t>
            </w:r>
          </w:p>
          <w:p w14:paraId="58854204">
            <w:pPr>
              <w:ind w:firstLine="420" w:firstLineChars="200"/>
              <w:jc w:val="left"/>
              <w:rPr>
                <w:rFonts w:hint="eastAsia" w:ascii="宋体" w:cs="宋体"/>
                <w:color w:val="auto"/>
                <w:szCs w:val="21"/>
              </w:rPr>
            </w:pPr>
            <w:r>
              <w:rPr>
                <w:rFonts w:hint="eastAsia" w:ascii="宋体" w:cs="宋体"/>
                <w:color w:val="auto"/>
                <w:szCs w:val="21"/>
              </w:rPr>
              <w:t>每日配送供应需求：每日约供应40-65余人的早、中、晚餐，包含肉类、蔬菜类、水果类、冷冻制品类、调味料类、蛋类、包点类、粉面类等食材。</w:t>
            </w:r>
          </w:p>
          <w:p w14:paraId="0B1D57D9">
            <w:pPr>
              <w:ind w:firstLine="420" w:firstLineChars="200"/>
              <w:jc w:val="left"/>
              <w:rPr>
                <w:rFonts w:hint="eastAsia" w:ascii="宋体" w:cs="宋体"/>
                <w:color w:val="auto"/>
                <w:szCs w:val="21"/>
              </w:rPr>
            </w:pPr>
            <w:r>
              <w:rPr>
                <w:rFonts w:hint="eastAsia" w:ascii="宋体" w:cs="宋体"/>
                <w:color w:val="auto"/>
                <w:szCs w:val="21"/>
              </w:rPr>
              <w:t>二、产品质量要求：</w:t>
            </w:r>
          </w:p>
          <w:p w14:paraId="6D095F14">
            <w:pPr>
              <w:ind w:firstLine="420" w:firstLineChars="200"/>
              <w:jc w:val="left"/>
              <w:rPr>
                <w:rFonts w:hint="eastAsia" w:ascii="宋体" w:cs="宋体"/>
                <w:color w:val="auto"/>
                <w:szCs w:val="21"/>
              </w:rPr>
            </w:pPr>
            <w:r>
              <w:rPr>
                <w:rFonts w:hint="eastAsia" w:ascii="宋体" w:cs="宋体"/>
                <w:color w:val="auto"/>
                <w:szCs w:val="21"/>
              </w:rPr>
              <w:t>（一）中标人提供的产品必须是经过质量监督管理部门检验并取得合格证明的产品，每批次产品提供时应交存货物质量合格证明、产品质量检测合格报告或检疫报告复印件。新鲜猪肉、新鲜牛肉、新鲜或冰冻鸡鸭、鸡副产品必须具有动物检验检疫证明。中标人所供应该类需具有追踪溯源体系，并可追踪溯源。</w:t>
            </w:r>
          </w:p>
          <w:p w14:paraId="3A33A6F4">
            <w:pPr>
              <w:ind w:firstLine="420" w:firstLineChars="200"/>
              <w:jc w:val="left"/>
              <w:rPr>
                <w:rFonts w:hint="eastAsia" w:ascii="宋体" w:cs="宋体"/>
                <w:color w:val="auto"/>
                <w:szCs w:val="21"/>
              </w:rPr>
            </w:pPr>
            <w:r>
              <w:rPr>
                <w:rFonts w:hint="eastAsia" w:ascii="宋体" w:cs="宋体"/>
                <w:color w:val="auto"/>
                <w:szCs w:val="21"/>
              </w:rPr>
              <w:t>（二）中标人应严格遵守《中华人民共和国食品安全法》和《动物检疫管理办法》等相关规定、所提供的产品是合格安全的产品，一经发现供应以下食品，采购人除全部退货外，将立即取消中标人的供货资格，中标人并承担由此造成的经济责任和法律责任。</w:t>
            </w:r>
          </w:p>
          <w:p w14:paraId="5EA61121">
            <w:pPr>
              <w:ind w:firstLine="420" w:firstLineChars="200"/>
              <w:jc w:val="left"/>
              <w:rPr>
                <w:rFonts w:hint="eastAsia" w:ascii="宋体" w:cs="宋体"/>
                <w:color w:val="auto"/>
                <w:szCs w:val="21"/>
              </w:rPr>
            </w:pPr>
            <w:r>
              <w:rPr>
                <w:rFonts w:hint="eastAsia" w:ascii="宋体" w:cs="宋体"/>
                <w:color w:val="auto"/>
                <w:szCs w:val="21"/>
              </w:rPr>
              <w:t>1.腐败变质、油脂酸败、霉变、生虫、污秽不洁、混有异物或者其他感官性状异常，对人体健康有害的；</w:t>
            </w:r>
          </w:p>
          <w:p w14:paraId="3C79BBA7">
            <w:pPr>
              <w:ind w:firstLine="420" w:firstLineChars="200"/>
              <w:jc w:val="left"/>
              <w:rPr>
                <w:rFonts w:hint="eastAsia" w:ascii="宋体" w:cs="宋体"/>
                <w:color w:val="auto"/>
                <w:szCs w:val="21"/>
              </w:rPr>
            </w:pPr>
            <w:r>
              <w:rPr>
                <w:rFonts w:hint="eastAsia" w:ascii="宋体" w:cs="宋体"/>
                <w:color w:val="auto"/>
                <w:szCs w:val="21"/>
              </w:rPr>
              <w:t>2.含有毒、有害物质或者被有害物质污染、对人体健康有害的；</w:t>
            </w:r>
          </w:p>
          <w:p w14:paraId="305011F2">
            <w:pPr>
              <w:ind w:firstLine="420" w:firstLineChars="200"/>
              <w:jc w:val="left"/>
              <w:rPr>
                <w:rFonts w:hint="eastAsia" w:ascii="宋体" w:cs="宋体"/>
                <w:color w:val="auto"/>
                <w:szCs w:val="21"/>
              </w:rPr>
            </w:pPr>
            <w:r>
              <w:rPr>
                <w:rFonts w:hint="eastAsia" w:ascii="宋体" w:cs="宋体"/>
                <w:color w:val="auto"/>
                <w:szCs w:val="21"/>
              </w:rPr>
              <w:t>3.含有致病性寄生虫、微生物或者微生物含量超过国家限定标准的；</w:t>
            </w:r>
          </w:p>
          <w:p w14:paraId="531B1A55">
            <w:pPr>
              <w:ind w:firstLine="420" w:firstLineChars="200"/>
              <w:jc w:val="left"/>
              <w:rPr>
                <w:rFonts w:hint="eastAsia" w:ascii="宋体" w:cs="宋体"/>
                <w:color w:val="auto"/>
                <w:szCs w:val="21"/>
              </w:rPr>
            </w:pPr>
            <w:r>
              <w:rPr>
                <w:rFonts w:hint="eastAsia" w:ascii="宋体" w:cs="宋体"/>
                <w:color w:val="auto"/>
                <w:szCs w:val="21"/>
              </w:rPr>
              <w:t>4.未经动物检疫部门检疫、检验或者检疫、检验不合格的肉类及其制品；</w:t>
            </w:r>
          </w:p>
          <w:p w14:paraId="358D80F8">
            <w:pPr>
              <w:ind w:firstLine="420" w:firstLineChars="200"/>
              <w:jc w:val="left"/>
              <w:rPr>
                <w:rFonts w:hint="eastAsia" w:ascii="宋体" w:cs="宋体"/>
                <w:color w:val="auto"/>
                <w:szCs w:val="21"/>
              </w:rPr>
            </w:pPr>
            <w:r>
              <w:rPr>
                <w:rFonts w:hint="eastAsia" w:ascii="宋体" w:cs="宋体"/>
                <w:color w:val="auto"/>
                <w:szCs w:val="21"/>
              </w:rPr>
              <w:t>5.病死、毒死或者死因不明的禽、畜、兽、水产动物等及其制品；</w:t>
            </w:r>
          </w:p>
          <w:p w14:paraId="77BE0E99">
            <w:pPr>
              <w:ind w:firstLine="420" w:firstLineChars="200"/>
              <w:jc w:val="left"/>
              <w:rPr>
                <w:rFonts w:hint="eastAsia" w:ascii="宋体" w:cs="宋体"/>
                <w:color w:val="auto"/>
                <w:szCs w:val="21"/>
              </w:rPr>
            </w:pPr>
            <w:r>
              <w:rPr>
                <w:rFonts w:hint="eastAsia" w:ascii="宋体" w:cs="宋体"/>
                <w:color w:val="auto"/>
                <w:szCs w:val="21"/>
              </w:rPr>
              <w:t>6.掺假、掺杂、伪造，影响营养、卫生的；</w:t>
            </w:r>
          </w:p>
          <w:p w14:paraId="413EE1B7">
            <w:pPr>
              <w:ind w:firstLine="420" w:firstLineChars="200"/>
              <w:jc w:val="left"/>
              <w:rPr>
                <w:rFonts w:hint="eastAsia" w:ascii="宋体" w:cs="宋体"/>
                <w:color w:val="auto"/>
                <w:szCs w:val="21"/>
              </w:rPr>
            </w:pPr>
            <w:r>
              <w:rPr>
                <w:rFonts w:hint="eastAsia" w:ascii="宋体" w:cs="宋体"/>
                <w:color w:val="auto"/>
                <w:szCs w:val="21"/>
              </w:rPr>
              <w:t>7.用非食品原料加工的，加入非食品用化学物质或者将非食品当作食品的；</w:t>
            </w:r>
          </w:p>
          <w:p w14:paraId="1C266CF8">
            <w:pPr>
              <w:ind w:firstLine="420" w:firstLineChars="200"/>
              <w:jc w:val="left"/>
              <w:rPr>
                <w:rFonts w:hint="eastAsia" w:ascii="宋体" w:cs="宋体"/>
                <w:color w:val="auto"/>
                <w:szCs w:val="21"/>
              </w:rPr>
            </w:pPr>
            <w:r>
              <w:rPr>
                <w:rFonts w:hint="eastAsia" w:ascii="宋体" w:cs="宋体"/>
                <w:color w:val="auto"/>
                <w:szCs w:val="21"/>
              </w:rPr>
              <w:t>8.超过保质期限的。</w:t>
            </w:r>
          </w:p>
          <w:p w14:paraId="48B8853C">
            <w:pPr>
              <w:ind w:firstLine="420" w:firstLineChars="200"/>
              <w:jc w:val="left"/>
              <w:rPr>
                <w:rFonts w:hint="eastAsia" w:ascii="宋体" w:cs="宋体"/>
                <w:color w:val="auto"/>
                <w:szCs w:val="21"/>
              </w:rPr>
            </w:pPr>
            <w:r>
              <w:rPr>
                <w:rFonts w:hint="eastAsia" w:ascii="宋体" w:cs="宋体"/>
                <w:color w:val="auto"/>
                <w:szCs w:val="21"/>
              </w:rPr>
              <w:t>（三）其他要求：</w:t>
            </w:r>
          </w:p>
          <w:p w14:paraId="6E0321B3">
            <w:pPr>
              <w:ind w:firstLine="420" w:firstLineChars="200"/>
              <w:jc w:val="left"/>
              <w:rPr>
                <w:rFonts w:hint="eastAsia" w:ascii="宋体" w:cs="宋体"/>
                <w:color w:val="auto"/>
                <w:szCs w:val="21"/>
              </w:rPr>
            </w:pPr>
            <w:r>
              <w:rPr>
                <w:rFonts w:hint="eastAsia" w:ascii="宋体" w:cs="宋体"/>
                <w:color w:val="auto"/>
                <w:szCs w:val="21"/>
              </w:rPr>
              <w:t>1、保证所提供的食材均符合《中华人民共和国食品安全法》等食品相关法律法规的要求，达到国家和行业规定的质量标准，有保质期限的商品剩余保存期不得少于原有保质期的三分之二。</w:t>
            </w:r>
          </w:p>
          <w:p w14:paraId="705AD60B">
            <w:pPr>
              <w:ind w:firstLine="420" w:firstLineChars="200"/>
              <w:jc w:val="left"/>
              <w:rPr>
                <w:rFonts w:hint="eastAsia" w:ascii="宋体" w:cs="宋体"/>
                <w:color w:val="auto"/>
                <w:szCs w:val="21"/>
              </w:rPr>
            </w:pPr>
            <w:r>
              <w:rPr>
                <w:rFonts w:hint="eastAsia" w:ascii="宋体" w:cs="宋体"/>
                <w:color w:val="auto"/>
                <w:szCs w:val="21"/>
              </w:rPr>
              <w:t>2、具备有食品安全质量检验能力，提供给采购人的食品及原材料，经过配送前检测，保证配送给采购人的食品及原材料符合食品卫生安全质量标准，并提供食品检验报告单，采购人有权进行监督和履行货物验收手续。</w:t>
            </w:r>
          </w:p>
          <w:p w14:paraId="09BCC4A4">
            <w:pPr>
              <w:ind w:firstLine="420" w:firstLineChars="200"/>
              <w:jc w:val="left"/>
              <w:rPr>
                <w:rFonts w:hint="eastAsia" w:ascii="宋体" w:cs="宋体"/>
                <w:color w:val="auto"/>
                <w:szCs w:val="21"/>
              </w:rPr>
            </w:pPr>
            <w:r>
              <w:rPr>
                <w:rFonts w:hint="eastAsia" w:ascii="宋体" w:cs="宋体"/>
                <w:color w:val="auto"/>
                <w:szCs w:val="21"/>
              </w:rPr>
              <w:t>3、生鲜类质量要求：冷冻类应保持较好的外观和质量等级，鲜肉类保证来源于正规渠道，必须经过检疫。蔬菜类应保持良好的色泽及新鲜度，以确保菜、肉新鲜。中标人提供的食材被采购人发现有安全质量问题的，有权退换货。如因菜类、肉类变质等质量原因，而导致采购人就餐人员发生食品卫生事故，要承担全部经济赔偿并负法律责任，同时终止合同。</w:t>
            </w:r>
          </w:p>
          <w:p w14:paraId="22851703">
            <w:pPr>
              <w:ind w:firstLine="420" w:firstLineChars="200"/>
              <w:jc w:val="left"/>
              <w:rPr>
                <w:rFonts w:hint="eastAsia" w:ascii="宋体" w:cs="宋体"/>
                <w:color w:val="auto"/>
                <w:szCs w:val="21"/>
              </w:rPr>
            </w:pPr>
            <w:r>
              <w:rPr>
                <w:rFonts w:hint="eastAsia" w:ascii="宋体" w:cs="宋体"/>
                <w:color w:val="auto"/>
                <w:szCs w:val="21"/>
              </w:rPr>
              <w:t>4、蔬菜类要求：来源应当于受到地方政府部门监管的自有基地、商品菜基地或蔬菜专业流通市场，原则上不直接采购未经组织化管理的零散农户产品，如需供应特定特色品种，中标人必须对该批次蔬菜负完全质量安全责任，并建立溯源档案。</w:t>
            </w:r>
          </w:p>
          <w:p w14:paraId="7EECB6A2">
            <w:pPr>
              <w:ind w:firstLine="420" w:firstLineChars="200"/>
              <w:jc w:val="left"/>
              <w:rPr>
                <w:rFonts w:hint="eastAsia" w:ascii="宋体" w:cs="宋体"/>
                <w:color w:val="auto"/>
                <w:szCs w:val="21"/>
              </w:rPr>
            </w:pPr>
            <w:r>
              <w:rPr>
                <w:rFonts w:hint="eastAsia" w:ascii="宋体" w:cs="宋体"/>
                <w:color w:val="auto"/>
                <w:szCs w:val="21"/>
              </w:rPr>
              <w:t>5、包装与标志要求：</w:t>
            </w:r>
          </w:p>
          <w:p w14:paraId="4BD6EF65">
            <w:pPr>
              <w:ind w:firstLine="420" w:firstLineChars="200"/>
              <w:jc w:val="left"/>
              <w:rPr>
                <w:rFonts w:hint="eastAsia" w:ascii="宋体" w:cs="宋体"/>
                <w:color w:val="auto"/>
                <w:szCs w:val="21"/>
              </w:rPr>
            </w:pPr>
            <w:r>
              <w:rPr>
                <w:rFonts w:hint="eastAsia" w:ascii="宋体" w:cs="宋体"/>
                <w:color w:val="auto"/>
                <w:szCs w:val="21"/>
              </w:rPr>
              <w:t>①蔬菜类容器（框、箱、袋）要求清洁、干燥、牢固、透气，无污染、无异味、无霉变现象。</w:t>
            </w:r>
          </w:p>
          <w:p w14:paraId="081FCFC9">
            <w:pPr>
              <w:ind w:firstLine="420" w:firstLineChars="200"/>
              <w:jc w:val="left"/>
              <w:rPr>
                <w:rFonts w:hint="eastAsia" w:ascii="宋体" w:cs="宋体"/>
                <w:color w:val="auto"/>
                <w:szCs w:val="21"/>
              </w:rPr>
            </w:pPr>
            <w:r>
              <w:rPr>
                <w:rFonts w:hint="eastAsia" w:ascii="宋体" w:cs="宋体"/>
                <w:color w:val="auto"/>
                <w:szCs w:val="21"/>
              </w:rPr>
              <w:t>②非生鲜类食材类食品包装标签应符合《食品安全国家标准预包装食品标签通则》（GB 7718-2011）要求，包括食品名称、配料表、净含量、规格、生产者（或）经销者的名称、地址和联系方式、生产日期和保质期、贮存条件、食品生产许可证编号、产品标准代号等内容。包装应完好无破漏，可视的内容物无腐败霉变或影响使用的变形，不存在危及人身、财产安全的情形。</w:t>
            </w:r>
          </w:p>
          <w:p w14:paraId="4A5B50F1">
            <w:pPr>
              <w:ind w:firstLine="420" w:firstLineChars="200"/>
              <w:jc w:val="left"/>
              <w:rPr>
                <w:rFonts w:hint="eastAsia" w:ascii="宋体" w:cs="宋体"/>
                <w:color w:val="auto"/>
                <w:szCs w:val="21"/>
              </w:rPr>
            </w:pPr>
            <w:r>
              <w:rPr>
                <w:rFonts w:hint="eastAsia" w:ascii="宋体" w:cs="宋体"/>
                <w:color w:val="auto"/>
                <w:szCs w:val="21"/>
              </w:rPr>
              <w:t>6、提供的食材出现假冒或者严重质量问题、安全隐患等，采购人有权单方面通知中标人解除合同。给采购人或采购人客人、职工造成实际损失的，采购人有权要求中标人承担相应责任，同时采购人有权禁止中标人及其关联方与采购人进行合作。</w:t>
            </w:r>
          </w:p>
          <w:p w14:paraId="01FF3AEE">
            <w:pPr>
              <w:ind w:firstLine="420" w:firstLineChars="200"/>
              <w:jc w:val="left"/>
              <w:rPr>
                <w:rFonts w:hint="eastAsia" w:ascii="宋体" w:cs="宋体"/>
                <w:color w:val="auto"/>
                <w:szCs w:val="21"/>
              </w:rPr>
            </w:pPr>
            <w:r>
              <w:rPr>
                <w:rFonts w:hint="eastAsia" w:ascii="宋体" w:cs="宋体"/>
                <w:color w:val="auto"/>
                <w:szCs w:val="21"/>
              </w:rPr>
              <w:t>7、采购人可对中标人供应的生鲜类食材实行食材留样和农药检测，并不定期抽样送卫生防疫部门检疫。如有卫生、质量问题，检验费由中标人承担，并承担全部损失及相关责任。</w:t>
            </w:r>
          </w:p>
          <w:p w14:paraId="794BEA3F">
            <w:pPr>
              <w:ind w:firstLine="420" w:firstLineChars="200"/>
              <w:jc w:val="left"/>
              <w:rPr>
                <w:rFonts w:hint="eastAsia" w:ascii="宋体" w:cs="宋体"/>
                <w:color w:val="auto"/>
                <w:szCs w:val="21"/>
              </w:rPr>
            </w:pPr>
            <w:r>
              <w:rPr>
                <w:rFonts w:hint="eastAsia" w:ascii="宋体" w:cs="宋体"/>
                <w:color w:val="auto"/>
                <w:szCs w:val="21"/>
              </w:rPr>
              <w:t>8、因中标人供应的食材质量问题，导致采购人发生食物中毒等食品安全事故的，由中标人承担全部损失及相关责任。</w:t>
            </w:r>
          </w:p>
          <w:p w14:paraId="464F78B6">
            <w:pPr>
              <w:ind w:firstLine="420" w:firstLineChars="200"/>
              <w:jc w:val="left"/>
              <w:rPr>
                <w:rFonts w:hint="eastAsia" w:ascii="宋体" w:cs="宋体"/>
                <w:color w:val="auto"/>
                <w:szCs w:val="21"/>
              </w:rPr>
            </w:pPr>
            <w:r>
              <w:rPr>
                <w:rFonts w:hint="eastAsia" w:ascii="宋体" w:cs="宋体"/>
                <w:color w:val="auto"/>
                <w:szCs w:val="21"/>
              </w:rPr>
              <w:t>9．中标人有固定的切配中心，有独立会计核算，在本地有专门负责人员对接。</w:t>
            </w:r>
          </w:p>
          <w:p w14:paraId="0C45504F">
            <w:pPr>
              <w:ind w:firstLine="420" w:firstLineChars="200"/>
              <w:jc w:val="left"/>
              <w:rPr>
                <w:rFonts w:hint="eastAsia" w:ascii="宋体" w:cs="宋体"/>
                <w:color w:val="auto"/>
                <w:szCs w:val="21"/>
              </w:rPr>
            </w:pPr>
            <w:r>
              <w:rPr>
                <w:rFonts w:hint="eastAsia" w:ascii="宋体" w:cs="宋体"/>
                <w:color w:val="auto"/>
                <w:szCs w:val="21"/>
              </w:rPr>
              <w:t>（四）供货要求</w:t>
            </w:r>
          </w:p>
          <w:p w14:paraId="46FAA8B0">
            <w:pPr>
              <w:ind w:firstLine="420" w:firstLineChars="200"/>
              <w:jc w:val="left"/>
              <w:rPr>
                <w:rFonts w:hint="eastAsia" w:ascii="宋体" w:cs="宋体"/>
                <w:color w:val="auto"/>
                <w:szCs w:val="21"/>
              </w:rPr>
            </w:pPr>
            <w:r>
              <w:rPr>
                <w:rFonts w:hint="eastAsia" w:ascii="宋体" w:cs="宋体"/>
                <w:color w:val="auto"/>
                <w:szCs w:val="21"/>
              </w:rPr>
              <w:t>1.</w:t>
            </w:r>
            <w:r>
              <w:rPr>
                <w:rFonts w:hint="eastAsia"/>
                <w:color w:val="auto"/>
              </w:rPr>
              <w:t xml:space="preserve"> </w:t>
            </w:r>
            <w:r>
              <w:rPr>
                <w:rFonts w:hint="eastAsia" w:ascii="宋体" w:cs="宋体"/>
                <w:color w:val="auto"/>
                <w:szCs w:val="21"/>
              </w:rPr>
              <w:t>供货要求：前一晚22:00前由采购人下单选定次日食材需求，中标人于次日6:30前配送早餐食材、于次日8：30前配送中、晚餐食材到指定地点。</w:t>
            </w:r>
          </w:p>
          <w:p w14:paraId="5F4BB0B4">
            <w:pPr>
              <w:ind w:firstLine="420" w:firstLineChars="200"/>
              <w:jc w:val="left"/>
              <w:rPr>
                <w:rFonts w:hint="eastAsia" w:ascii="宋体" w:cs="宋体"/>
                <w:color w:val="auto"/>
                <w:szCs w:val="21"/>
              </w:rPr>
            </w:pPr>
            <w:r>
              <w:rPr>
                <w:rFonts w:hint="eastAsia" w:ascii="宋体" w:cs="宋体"/>
                <w:color w:val="auto"/>
                <w:szCs w:val="21"/>
              </w:rPr>
              <w:t>2.紧急供货要求：中标人在收到采购人发出紧急供货通知后，中标人最迟2小时内完成当次现场供货。</w:t>
            </w:r>
          </w:p>
          <w:p w14:paraId="3F6C98F2">
            <w:pPr>
              <w:ind w:firstLine="420" w:firstLineChars="200"/>
              <w:jc w:val="left"/>
              <w:rPr>
                <w:rFonts w:hint="eastAsia" w:ascii="宋体" w:cs="宋体"/>
                <w:color w:val="auto"/>
                <w:szCs w:val="21"/>
              </w:rPr>
            </w:pPr>
            <w:r>
              <w:rPr>
                <w:rFonts w:hint="eastAsia" w:ascii="宋体" w:cs="宋体"/>
                <w:color w:val="auto"/>
                <w:szCs w:val="21"/>
              </w:rPr>
              <w:t>▲3.中标人必须按照采购人食堂采购人员通知的时间、数量、品种、品质要求及协定的价格准时送货，经验收合格后签字确认，不能以任何理由推托，一旦影响到采购人食堂的正常运转，中标人承担相应的经济赔偿。</w:t>
            </w:r>
          </w:p>
          <w:p w14:paraId="724D45B3">
            <w:pPr>
              <w:ind w:firstLine="420" w:firstLineChars="200"/>
              <w:jc w:val="left"/>
              <w:rPr>
                <w:rFonts w:hint="eastAsia" w:ascii="宋体" w:cs="宋体"/>
                <w:color w:val="auto"/>
                <w:szCs w:val="21"/>
              </w:rPr>
            </w:pPr>
            <w:r>
              <w:rPr>
                <w:rFonts w:hint="eastAsia" w:ascii="宋体" w:cs="宋体"/>
                <w:color w:val="auto"/>
                <w:szCs w:val="21"/>
              </w:rPr>
              <w:t>4.中标人不能满足供货要求时，应提前一个月通知采购人，采购人同意后方可终止合同。</w:t>
            </w:r>
          </w:p>
          <w:p w14:paraId="55BD4E66">
            <w:pPr>
              <w:ind w:firstLine="420" w:firstLineChars="200"/>
              <w:jc w:val="left"/>
              <w:rPr>
                <w:rFonts w:hint="eastAsia" w:ascii="宋体" w:cs="宋体"/>
                <w:color w:val="auto"/>
                <w:szCs w:val="21"/>
              </w:rPr>
            </w:pPr>
            <w:r>
              <w:rPr>
                <w:rFonts w:hint="eastAsia" w:ascii="宋体" w:cs="宋体"/>
                <w:color w:val="auto"/>
                <w:szCs w:val="21"/>
              </w:rPr>
              <w:t>▲三、食材价格确定</w:t>
            </w:r>
          </w:p>
          <w:p w14:paraId="43664C74">
            <w:pPr>
              <w:ind w:firstLine="420" w:firstLineChars="200"/>
              <w:jc w:val="left"/>
              <w:rPr>
                <w:rFonts w:hint="eastAsia" w:ascii="宋体" w:cs="仿宋_GB2312"/>
                <w:color w:val="auto"/>
                <w:szCs w:val="21"/>
              </w:rPr>
            </w:pPr>
            <w:r>
              <w:rPr>
                <w:rFonts w:hint="eastAsia" w:ascii="宋体" w:cs="宋体"/>
                <w:color w:val="auto"/>
                <w:szCs w:val="21"/>
              </w:rPr>
              <w:t>双方约定每个月作为一个报价周期，中标人每月28日前必须向龙邦海关提交下一周期供应食材报价，报价单上品名应规范统一，避免错误、重复或存在歧义；每月30日前确定价格，以每个月作为一个周期（每次定价有效期为定价后第二天至下个月30日）。主要食材品种由中标人向龙邦海关提供主要商品供货价格（以靖西市市场价格为参考，不得高于市场价）为基准价，乘以（1-下浮系数）进行结算，即：各类食材核定价=中标人向龙邦海关提供主要商品供货价格（以靖西市市场价格为参考，不得高于市场价）×（1-下浮系数）。如遇市场价格上浮超过5%，中标人没有提前三天以书面形式通知龙邦海关，结算时仍执行基准价；如遇市场价格下浮，而中标人未能及时调整价格的，龙邦海关有权中止配送服务合同。中标人要于当天或次日完成所送货品的单价报送工作，不得延误。</w:t>
            </w:r>
          </w:p>
        </w:tc>
      </w:tr>
      <w:bookmarkEnd w:id="3"/>
      <w:tr w14:paraId="4724E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628" w:type="dxa"/>
            <w:gridSpan w:val="4"/>
            <w:tcBorders>
              <w:top w:val="single" w:color="auto" w:sz="4" w:space="0"/>
              <w:left w:val="single" w:color="auto" w:sz="4" w:space="0"/>
              <w:bottom w:val="single" w:color="auto" w:sz="4" w:space="0"/>
              <w:right w:val="single" w:color="auto" w:sz="4" w:space="0"/>
            </w:tcBorders>
            <w:noWrap w:val="0"/>
            <w:vAlign w:val="center"/>
          </w:tcPr>
          <w:p w14:paraId="43B32E33">
            <w:pPr>
              <w:spacing w:line="360" w:lineRule="exact"/>
              <w:rPr>
                <w:rFonts w:hint="eastAsia" w:ascii="宋体"/>
                <w:b/>
                <w:color w:val="auto"/>
                <w:szCs w:val="21"/>
              </w:rPr>
            </w:pPr>
            <w:r>
              <w:rPr>
                <w:rFonts w:hint="eastAsia" w:ascii="宋体"/>
                <w:b/>
                <w:color w:val="auto"/>
                <w:szCs w:val="21"/>
              </w:rPr>
              <w:t>一、商务要求</w:t>
            </w:r>
          </w:p>
        </w:tc>
      </w:tr>
      <w:tr w14:paraId="4C1C8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6231AE9E">
            <w:pPr>
              <w:spacing w:line="500" w:lineRule="exact"/>
              <w:jc w:val="center"/>
              <w:rPr>
                <w:rFonts w:hint="eastAsia" w:ascii="宋体" w:cs="仿宋_GB2312"/>
                <w:color w:val="auto"/>
                <w:szCs w:val="21"/>
              </w:rPr>
            </w:pPr>
            <w:r>
              <w:rPr>
                <w:rFonts w:hint="eastAsia" w:ascii="宋体" w:cs="仿宋_GB2312"/>
                <w:color w:val="auto"/>
                <w:szCs w:val="21"/>
              </w:rPr>
              <w:t>▲合同签订时间</w:t>
            </w:r>
          </w:p>
        </w:tc>
        <w:tc>
          <w:tcPr>
            <w:tcW w:w="8137" w:type="dxa"/>
            <w:gridSpan w:val="2"/>
            <w:tcBorders>
              <w:top w:val="single" w:color="auto" w:sz="4" w:space="0"/>
              <w:left w:val="single" w:color="auto" w:sz="4" w:space="0"/>
              <w:bottom w:val="single" w:color="auto" w:sz="4" w:space="0"/>
              <w:right w:val="single" w:color="auto" w:sz="4" w:space="0"/>
            </w:tcBorders>
            <w:noWrap w:val="0"/>
            <w:vAlign w:val="top"/>
          </w:tcPr>
          <w:p w14:paraId="51E1AF38">
            <w:pPr>
              <w:spacing w:line="500" w:lineRule="exact"/>
              <w:rPr>
                <w:rFonts w:hint="eastAsia" w:ascii="宋体" w:cs="仿宋_GB2312"/>
                <w:b/>
                <w:color w:val="auto"/>
                <w:szCs w:val="21"/>
              </w:rPr>
            </w:pPr>
            <w:r>
              <w:rPr>
                <w:rFonts w:hint="eastAsia" w:ascii="宋体" w:cs="仿宋_GB2312"/>
                <w:color w:val="auto"/>
                <w:szCs w:val="21"/>
              </w:rPr>
              <w:t>自中标通知书发出之日起30日内。</w:t>
            </w:r>
          </w:p>
        </w:tc>
      </w:tr>
      <w:tr w14:paraId="6C0B8B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00F8B88B">
            <w:pPr>
              <w:spacing w:line="500" w:lineRule="exact"/>
              <w:jc w:val="center"/>
              <w:rPr>
                <w:rFonts w:hint="eastAsia" w:ascii="宋体" w:cs="仿宋_GB2312"/>
                <w:color w:val="auto"/>
                <w:szCs w:val="21"/>
              </w:rPr>
            </w:pPr>
            <w:r>
              <w:rPr>
                <w:rFonts w:hint="eastAsia" w:ascii="宋体" w:cs="仿宋_GB2312"/>
                <w:color w:val="auto"/>
                <w:szCs w:val="21"/>
              </w:rPr>
              <w:t>▲合同履行期限及地点</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6413DA08">
            <w:pPr>
              <w:numPr>
                <w:ilvl w:val="0"/>
                <w:numId w:val="1"/>
              </w:numPr>
              <w:spacing w:line="500" w:lineRule="exact"/>
              <w:ind w:left="0" w:firstLine="0"/>
              <w:rPr>
                <w:rFonts w:hint="eastAsia" w:ascii="宋体" w:cs="仿宋_GB2312"/>
                <w:color w:val="auto"/>
                <w:szCs w:val="21"/>
              </w:rPr>
            </w:pPr>
            <w:r>
              <w:rPr>
                <w:rFonts w:hint="eastAsia" w:ascii="宋体" w:cs="仿宋_GB2312"/>
                <w:color w:val="auto"/>
                <w:szCs w:val="21"/>
              </w:rPr>
              <w:t>合同履行期限：一年。</w:t>
            </w:r>
          </w:p>
          <w:p w14:paraId="36BFF6BC">
            <w:pPr>
              <w:numPr>
                <w:ilvl w:val="0"/>
                <w:numId w:val="1"/>
              </w:numPr>
              <w:spacing w:line="500" w:lineRule="exact"/>
              <w:ind w:left="0" w:firstLine="0"/>
              <w:rPr>
                <w:rFonts w:hint="eastAsia" w:ascii="宋体" w:cs="仿宋_GB2312"/>
                <w:color w:val="auto"/>
                <w:szCs w:val="21"/>
              </w:rPr>
            </w:pPr>
            <w:r>
              <w:rPr>
                <w:rFonts w:hint="eastAsia" w:ascii="宋体" w:cs="仿宋_GB2312"/>
                <w:color w:val="auto"/>
                <w:szCs w:val="21"/>
              </w:rPr>
              <w:t>交付地点：百色市靖西市凤凰路31号龙邦海关机关食堂。</w:t>
            </w:r>
          </w:p>
        </w:tc>
      </w:tr>
      <w:tr w14:paraId="1102E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6BE05238">
            <w:pPr>
              <w:spacing w:line="500" w:lineRule="exact"/>
              <w:jc w:val="center"/>
              <w:rPr>
                <w:rFonts w:hint="eastAsia" w:ascii="宋体" w:cs="仿宋_GB2312"/>
                <w:color w:val="auto"/>
                <w:szCs w:val="21"/>
              </w:rPr>
            </w:pPr>
            <w:r>
              <w:rPr>
                <w:rFonts w:hint="eastAsia" w:ascii="宋体" w:cs="仿宋_GB2312"/>
                <w:color w:val="auto"/>
                <w:szCs w:val="21"/>
              </w:rPr>
              <w:t>▲付款方式</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570942E3">
            <w:pPr>
              <w:spacing w:line="500" w:lineRule="exact"/>
              <w:ind w:firstLine="420" w:firstLineChars="200"/>
              <w:rPr>
                <w:rFonts w:hint="eastAsia" w:ascii="宋体" w:cs="仿宋_GB2312"/>
                <w:color w:val="auto"/>
                <w:szCs w:val="21"/>
              </w:rPr>
            </w:pPr>
            <w:r>
              <w:rPr>
                <w:rFonts w:hint="eastAsia" w:ascii="宋体" w:cs="仿宋_GB2312"/>
                <w:color w:val="auto"/>
                <w:szCs w:val="21"/>
              </w:rPr>
              <w:t>1.龙邦海关按月度与中标人结算合同款项，支付时间双方确认服务金额无误之后。每笔款项均以转账方式支付，中标人凭以下资料与采购人进行结算：中标人开具的合法税务发票；双方签字确认的入库单（入库单上有品名、数量、单价和金额），同时提供电子文本。</w:t>
            </w:r>
          </w:p>
          <w:p w14:paraId="54F74FEF">
            <w:pPr>
              <w:spacing w:line="500" w:lineRule="exact"/>
              <w:ind w:firstLine="420" w:firstLineChars="200"/>
              <w:rPr>
                <w:rFonts w:hint="eastAsia" w:ascii="宋体" w:cs="仿宋_GB2312"/>
                <w:color w:val="auto"/>
                <w:szCs w:val="21"/>
              </w:rPr>
            </w:pPr>
            <w:r>
              <w:rPr>
                <w:rFonts w:hint="eastAsia" w:ascii="宋体" w:cs="仿宋_GB2312"/>
                <w:color w:val="auto"/>
                <w:szCs w:val="21"/>
              </w:rPr>
              <w:t>2.每次转账前，中标人应提供相同金额的正式发票，否则采购人有权拒绝付款，且不承担逾期付款的违约责任，因此产生的一切不利后果由中标人承担。</w:t>
            </w:r>
          </w:p>
        </w:tc>
      </w:tr>
      <w:tr w14:paraId="5B7A2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33E3E931">
            <w:pPr>
              <w:spacing w:line="500" w:lineRule="exact"/>
              <w:jc w:val="center"/>
              <w:rPr>
                <w:rFonts w:hint="eastAsia" w:ascii="宋体" w:cs="仿宋_GB2312"/>
                <w:color w:val="auto"/>
                <w:szCs w:val="21"/>
              </w:rPr>
            </w:pPr>
            <w:r>
              <w:rPr>
                <w:rFonts w:hint="eastAsia" w:ascii="宋体" w:cs="仿宋_GB2312"/>
                <w:bCs/>
                <w:color w:val="auto"/>
                <w:szCs w:val="21"/>
              </w:rPr>
              <w:t>▲报价要求</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6FB02D54">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1.投标报价应当包含满足本次招标全部采购需求所应提供的服务，以及伴随的货物的价格、运输（含保险）、安装（如有）、检验、技术服务、人员薪资、税费等所有费用。</w:t>
            </w:r>
          </w:p>
          <w:p w14:paraId="6B2B0CA1">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2.本项目按照下浮系数进行结算，各类食材核定价=中标人向龙邦海关提供主要商品供货价格（以靖西市市场价格为参考，不得高于市场价）×（1-下浮系数）。报价有限范围0%≤下浮系数＜100%内，超出有效报价范围的视为无效报价，无效报价投标无效。</w:t>
            </w:r>
          </w:p>
          <w:p w14:paraId="5FA1591C">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3.本次采购预算金额为140万元/年（其中中华人民共和国龙邦海关130万元；南宁海关后勤管理中心10万元）。本项目合同签由中华人民共和国龙邦海关、南宁海关后勤管理中心与中标人签订三方合同，合同签订后中华人民共和国龙邦海关和南宁海关后勤管理中心按照比例，分月分别给中标人支付。</w:t>
            </w:r>
          </w:p>
        </w:tc>
      </w:tr>
      <w:tr w14:paraId="0895E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2138DFEC">
            <w:pPr>
              <w:spacing w:line="500" w:lineRule="exact"/>
              <w:jc w:val="center"/>
              <w:rPr>
                <w:rFonts w:hint="eastAsia" w:ascii="宋体" w:cs="仿宋_GB2312"/>
                <w:b/>
                <w:color w:val="auto"/>
                <w:szCs w:val="21"/>
              </w:rPr>
            </w:pPr>
            <w:r>
              <w:rPr>
                <w:rFonts w:hint="eastAsia" w:ascii="宋体" w:cs="仿宋_GB2312"/>
                <w:bCs/>
                <w:color w:val="auto"/>
                <w:szCs w:val="21"/>
              </w:rPr>
              <w:t>验收标准</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00841FB7">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1.按招标文件、投标文件以及合同的相关条款进行验收。中标人在验收前应对所提供的服务作出全面检查和对验收文件进行整理，并列出清单，作为采购人验收的依据之一。中标人不能按规定交付相关材料，导致采购人无法确认中标人服务结果的，必须负责补齐，否则视为未按合同约定交付服务。</w:t>
            </w:r>
          </w:p>
          <w:p w14:paraId="5D63094D">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（1）验收条件</w:t>
            </w:r>
          </w:p>
          <w:p w14:paraId="1BB15798">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本项目采购需求中包含的货物、服务文档满足本招标文件的规定要求。</w:t>
            </w:r>
          </w:p>
          <w:p w14:paraId="7B4F4DB6">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（2）验收标准</w:t>
            </w:r>
          </w:p>
          <w:p w14:paraId="4E27F3EF">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以项目采购需求中相关内容及其要求为依据，作为项目验收标准。中标人是否按照本采购需求书中定义的各项要求开展各项工作，工作流程和结果是否符合采购人质量管理要求，是否在规定时间内提交相关工作文档。</w:t>
            </w:r>
          </w:p>
          <w:p w14:paraId="2055F5EF">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（3）验收流程</w:t>
            </w:r>
          </w:p>
          <w:p w14:paraId="7BFF69BA">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食材的验收工作由采购人、中标人进行验收。食堂工作人员和食堂管理人员按采购计划清单对食材逐项按验收标准检查品质、逐项称重，避免缺斤少两、以次充好。中标人提供的产品须经过食堂验收人的感官检验、外观检验和试用检验，若产品外观、包装、形式不符合要求、感官检验不能达到食品卫生要求，当即拒收。因中标人不能满足食品的质、量及售后服务要求，影响采购人食堂工作开展或造成食品安全事件时，采购人有权解除或终止合同。</w:t>
            </w:r>
          </w:p>
          <w:p w14:paraId="4FF35E2C">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验收工作的一般程序为：根据食品请购清单的具体要求，对所购食材进行清点、外观检查以及对物料的各项指标和性能进行实测，并逐项记录。检测结束后，验收签字确认。对未能通过验收的，一律退货、更换直至验收合格。</w:t>
            </w:r>
          </w:p>
          <w:p w14:paraId="7C3CD364">
            <w:pPr>
              <w:spacing w:line="500" w:lineRule="exact"/>
              <w:ind w:firstLine="420" w:firstLineChars="200"/>
              <w:jc w:val="left"/>
              <w:rPr>
                <w:rFonts w:hint="eastAsia" w:ascii="宋体" w:cs="仿宋_GB2312"/>
                <w:color w:val="auto"/>
                <w:szCs w:val="21"/>
              </w:rPr>
            </w:pPr>
            <w:r>
              <w:rPr>
                <w:rFonts w:hint="eastAsia" w:ascii="宋体" w:cs="仿宋_GB2312"/>
                <w:color w:val="auto"/>
                <w:szCs w:val="21"/>
              </w:rPr>
              <w:t>2.验收过程中所产生的一切费用均由中标人承担。报价时应考虑相关费用。</w:t>
            </w:r>
          </w:p>
        </w:tc>
      </w:tr>
      <w:tr w14:paraId="3D282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28342E30">
            <w:pPr>
              <w:spacing w:line="500" w:lineRule="exact"/>
              <w:jc w:val="center"/>
              <w:rPr>
                <w:rFonts w:hint="eastAsia" w:ascii="宋体" w:cs="仿宋_GB2312"/>
                <w:bCs/>
                <w:color w:val="auto"/>
                <w:szCs w:val="21"/>
              </w:rPr>
            </w:pPr>
            <w:r>
              <w:rPr>
                <w:rFonts w:hint="eastAsia" w:ascii="宋体" w:cs="仿宋_GB2312"/>
                <w:bCs/>
                <w:color w:val="auto"/>
                <w:szCs w:val="21"/>
              </w:rPr>
              <w:t>售后服务</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574C8F40">
            <w:pPr>
              <w:spacing w:line="500" w:lineRule="exact"/>
              <w:rPr>
                <w:rFonts w:hint="eastAsia" w:ascii="宋体" w:cs="仿宋_GB2312"/>
                <w:color w:val="auto"/>
                <w:szCs w:val="21"/>
              </w:rPr>
            </w:pPr>
            <w:r>
              <w:rPr>
                <w:rFonts w:hint="eastAsia" w:ascii="宋体" w:cs="仿宋_GB2312"/>
                <w:color w:val="auto"/>
                <w:szCs w:val="21"/>
              </w:rPr>
              <w:t>1.</w:t>
            </w:r>
            <w:r>
              <w:rPr>
                <w:rFonts w:hint="eastAsia"/>
                <w:color w:val="auto"/>
              </w:rPr>
              <w:t xml:space="preserve"> </w:t>
            </w:r>
            <w:r>
              <w:rPr>
                <w:rFonts w:hint="eastAsia" w:ascii="宋体" w:cs="仿宋_GB2312"/>
                <w:color w:val="auto"/>
                <w:szCs w:val="21"/>
              </w:rPr>
              <w:t>中标人负责所供产品的售后服务，按照国家“三包”规定，负责未食用食品的质保服务，质量保证期不低于1年。如出现质量问题，负责退换货。</w:t>
            </w:r>
          </w:p>
          <w:p w14:paraId="567B43CE">
            <w:pPr>
              <w:spacing w:line="500" w:lineRule="exact"/>
              <w:rPr>
                <w:rFonts w:hint="eastAsia" w:ascii="宋体" w:cs="仿宋_GB2312"/>
                <w:color w:val="auto"/>
                <w:szCs w:val="21"/>
              </w:rPr>
            </w:pPr>
            <w:r>
              <w:rPr>
                <w:rFonts w:hint="eastAsia" w:ascii="宋体" w:cs="仿宋_GB2312"/>
                <w:color w:val="auto"/>
                <w:szCs w:val="21"/>
              </w:rPr>
              <w:t>2.中标人拟投入的冷链车及普通货车各不少于1辆。</w:t>
            </w:r>
          </w:p>
          <w:p w14:paraId="635E4A2C">
            <w:pPr>
              <w:spacing w:line="500" w:lineRule="exact"/>
              <w:rPr>
                <w:rFonts w:hint="eastAsia" w:ascii="宋体" w:cs="仿宋_GB2312"/>
                <w:color w:val="auto"/>
                <w:szCs w:val="21"/>
              </w:rPr>
            </w:pPr>
            <w:r>
              <w:rPr>
                <w:rFonts w:hint="eastAsia" w:ascii="宋体" w:cs="仿宋_GB2312"/>
                <w:color w:val="auto"/>
                <w:szCs w:val="21"/>
              </w:rPr>
              <w:t>3.拟投入本项目的人员的要求必须四名以上（含四名）正式员工办理有健康证明。</w:t>
            </w:r>
          </w:p>
        </w:tc>
      </w:tr>
      <w:tr w14:paraId="573AD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5723201B">
            <w:pPr>
              <w:spacing w:line="500" w:lineRule="exact"/>
              <w:jc w:val="center"/>
              <w:rPr>
                <w:rFonts w:hint="eastAsia" w:ascii="宋体" w:cs="仿宋_GB2312"/>
                <w:bCs/>
                <w:color w:val="auto"/>
                <w:szCs w:val="21"/>
              </w:rPr>
            </w:pPr>
            <w:r>
              <w:rPr>
                <w:rFonts w:hint="eastAsia" w:ascii="宋体" w:cs="仿宋_GB2312"/>
                <w:bCs/>
                <w:color w:val="auto"/>
                <w:szCs w:val="21"/>
              </w:rPr>
              <w:t>▲知识产权</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58E24D1C">
            <w:pPr>
              <w:spacing w:line="500" w:lineRule="exact"/>
              <w:rPr>
                <w:rFonts w:hint="eastAsia" w:ascii="宋体" w:cs="仿宋_GB2312"/>
                <w:color w:val="auto"/>
                <w:szCs w:val="21"/>
              </w:rPr>
            </w:pPr>
            <w:r>
              <w:rPr>
                <w:rFonts w:hint="eastAsia" w:ascii="宋体" w:cs="仿宋_GB2312"/>
                <w:color w:val="auto"/>
                <w:szCs w:val="21"/>
              </w:rPr>
              <w:t>1.采购人在中华人民共和国境内使用中标人提供的技术及服务成果时免受第三方提出的侵犯其专利权或其它知识产权的起诉。如果第三方提出侵权指控，中标人承担由此而引起的一切法律责任和费用。</w:t>
            </w:r>
          </w:p>
          <w:p w14:paraId="71F9E9C6">
            <w:pPr>
              <w:spacing w:line="500" w:lineRule="exact"/>
              <w:rPr>
                <w:rFonts w:hint="eastAsia" w:ascii="宋体" w:cs="仿宋_GB2312"/>
                <w:color w:val="auto"/>
                <w:szCs w:val="21"/>
              </w:rPr>
            </w:pPr>
            <w:r>
              <w:rPr>
                <w:rFonts w:hint="eastAsia" w:ascii="宋体" w:cs="仿宋_GB2312"/>
                <w:color w:val="auto"/>
                <w:szCs w:val="21"/>
              </w:rPr>
              <w:t>2.服务成果经采购人验收通过后，服务成果归采购人所有，未经采购人同意中标人不得挪作他用。</w:t>
            </w:r>
          </w:p>
        </w:tc>
      </w:tr>
      <w:tr w14:paraId="55118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628" w:type="dxa"/>
            <w:gridSpan w:val="4"/>
            <w:tcBorders>
              <w:top w:val="single" w:color="auto" w:sz="4" w:space="0"/>
              <w:left w:val="single" w:color="auto" w:sz="4" w:space="0"/>
              <w:bottom w:val="single" w:color="auto" w:sz="4" w:space="0"/>
              <w:right w:val="single" w:color="auto" w:sz="4" w:space="0"/>
            </w:tcBorders>
            <w:noWrap w:val="0"/>
            <w:vAlign w:val="center"/>
          </w:tcPr>
          <w:p w14:paraId="4D8F2647">
            <w:pPr>
              <w:spacing w:line="360" w:lineRule="exact"/>
              <w:rPr>
                <w:rFonts w:hint="eastAsia" w:ascii="宋体"/>
                <w:b/>
                <w:color w:val="auto"/>
                <w:szCs w:val="21"/>
              </w:rPr>
            </w:pPr>
            <w:r>
              <w:rPr>
                <w:rFonts w:hint="eastAsia" w:ascii="宋体"/>
                <w:b/>
                <w:color w:val="auto"/>
                <w:szCs w:val="21"/>
              </w:rPr>
              <w:t>二、与实现项目目标相关的其他要求</w:t>
            </w:r>
          </w:p>
        </w:tc>
      </w:tr>
      <w:tr w14:paraId="18E2E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628" w:type="dxa"/>
            <w:gridSpan w:val="4"/>
            <w:tcBorders>
              <w:top w:val="single" w:color="auto" w:sz="4" w:space="0"/>
              <w:left w:val="single" w:color="auto" w:sz="4" w:space="0"/>
              <w:bottom w:val="single" w:color="auto" w:sz="4" w:space="0"/>
              <w:right w:val="single" w:color="auto" w:sz="4" w:space="0"/>
            </w:tcBorders>
            <w:noWrap w:val="0"/>
            <w:vAlign w:val="center"/>
          </w:tcPr>
          <w:p w14:paraId="2CD25BB2">
            <w:pPr>
              <w:spacing w:line="360" w:lineRule="exact"/>
              <w:rPr>
                <w:rFonts w:hint="eastAsia" w:ascii="宋体"/>
                <w:b/>
                <w:color w:val="auto"/>
                <w:szCs w:val="21"/>
              </w:rPr>
            </w:pPr>
            <w:r>
              <w:rPr>
                <w:rFonts w:hint="eastAsia" w:ascii="宋体"/>
                <w:b/>
                <w:color w:val="auto"/>
                <w:szCs w:val="21"/>
              </w:rPr>
              <w:t>（一）投标人的履约能力要求</w:t>
            </w:r>
          </w:p>
        </w:tc>
      </w:tr>
      <w:tr w14:paraId="54250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5B330938">
            <w:pPr>
              <w:spacing w:line="360" w:lineRule="exact"/>
              <w:rPr>
                <w:rFonts w:hint="eastAsia" w:ascii="宋体"/>
                <w:color w:val="auto"/>
                <w:szCs w:val="21"/>
              </w:rPr>
            </w:pPr>
            <w:r>
              <w:rPr>
                <w:rFonts w:hint="eastAsia" w:ascii="宋体"/>
                <w:color w:val="auto"/>
                <w:szCs w:val="21"/>
              </w:rPr>
              <w:t>政策性加分条件</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211FABFA">
            <w:pPr>
              <w:spacing w:line="360" w:lineRule="exact"/>
              <w:rPr>
                <w:rFonts w:hint="eastAsia" w:ascii="宋体"/>
                <w:color w:val="auto"/>
                <w:szCs w:val="21"/>
              </w:rPr>
            </w:pPr>
            <w:r>
              <w:rPr>
                <w:rFonts w:hint="eastAsia" w:ascii="宋体"/>
                <w:color w:val="auto"/>
                <w:szCs w:val="21"/>
              </w:rPr>
              <w:t>见本采购文件第四章“评标方法及评标标准”。</w:t>
            </w:r>
          </w:p>
        </w:tc>
      </w:tr>
      <w:tr w14:paraId="6BE5E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3AE39778">
            <w:pPr>
              <w:spacing w:line="360" w:lineRule="exact"/>
              <w:rPr>
                <w:rFonts w:hint="eastAsia" w:ascii="宋体"/>
                <w:color w:val="auto"/>
                <w:szCs w:val="21"/>
              </w:rPr>
            </w:pPr>
            <w:r>
              <w:rPr>
                <w:rFonts w:hint="eastAsia" w:ascii="宋体"/>
                <w:color w:val="auto"/>
                <w:szCs w:val="21"/>
              </w:rPr>
              <w:t>质量管理体系要求</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79654DE8">
            <w:pPr>
              <w:spacing w:line="360" w:lineRule="exact"/>
              <w:rPr>
                <w:rFonts w:hint="eastAsia" w:ascii="宋体"/>
                <w:color w:val="auto"/>
                <w:szCs w:val="21"/>
              </w:rPr>
            </w:pPr>
            <w:r>
              <w:rPr>
                <w:rFonts w:hint="eastAsia" w:ascii="宋体"/>
                <w:color w:val="auto"/>
                <w:szCs w:val="21"/>
              </w:rPr>
              <w:t>如有，请于投标文件中自行提供。</w:t>
            </w:r>
          </w:p>
        </w:tc>
      </w:tr>
      <w:tr w14:paraId="60205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491" w:type="dxa"/>
            <w:gridSpan w:val="2"/>
            <w:tcBorders>
              <w:top w:val="single" w:color="auto" w:sz="4" w:space="0"/>
              <w:left w:val="single" w:color="auto" w:sz="4" w:space="0"/>
              <w:bottom w:val="single" w:color="auto" w:sz="4" w:space="0"/>
              <w:right w:val="single" w:color="auto" w:sz="4" w:space="0"/>
            </w:tcBorders>
            <w:noWrap w:val="0"/>
            <w:vAlign w:val="center"/>
          </w:tcPr>
          <w:p w14:paraId="09B25E3D">
            <w:pPr>
              <w:spacing w:line="360" w:lineRule="exact"/>
              <w:rPr>
                <w:rFonts w:hint="eastAsia" w:ascii="宋体"/>
                <w:color w:val="auto"/>
                <w:szCs w:val="21"/>
              </w:rPr>
            </w:pPr>
            <w:r>
              <w:rPr>
                <w:rFonts w:hint="eastAsia" w:ascii="宋体"/>
                <w:color w:val="auto"/>
                <w:szCs w:val="21"/>
              </w:rPr>
              <w:t>业绩要求</w:t>
            </w:r>
          </w:p>
        </w:tc>
        <w:tc>
          <w:tcPr>
            <w:tcW w:w="8137" w:type="dxa"/>
            <w:gridSpan w:val="2"/>
            <w:tcBorders>
              <w:top w:val="single" w:color="auto" w:sz="4" w:space="0"/>
              <w:left w:val="single" w:color="auto" w:sz="4" w:space="0"/>
              <w:bottom w:val="single" w:color="auto" w:sz="4" w:space="0"/>
              <w:right w:val="single" w:color="auto" w:sz="4" w:space="0"/>
            </w:tcBorders>
            <w:noWrap w:val="0"/>
            <w:vAlign w:val="center"/>
          </w:tcPr>
          <w:p w14:paraId="1543A902">
            <w:pPr>
              <w:spacing w:line="360" w:lineRule="exact"/>
              <w:rPr>
                <w:rFonts w:hint="eastAsia" w:ascii="宋体"/>
                <w:color w:val="auto"/>
                <w:szCs w:val="21"/>
              </w:rPr>
            </w:pPr>
            <w:r>
              <w:rPr>
                <w:rFonts w:hint="eastAsia" w:ascii="宋体"/>
                <w:color w:val="auto"/>
                <w:szCs w:val="21"/>
              </w:rPr>
              <w:t>如有，请于投标文件中自行提供。</w:t>
            </w:r>
          </w:p>
        </w:tc>
      </w:tr>
      <w:tr w14:paraId="7E7C8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628" w:type="dxa"/>
            <w:gridSpan w:val="4"/>
            <w:tcBorders>
              <w:top w:val="single" w:color="auto" w:sz="4" w:space="0"/>
              <w:left w:val="single" w:color="auto" w:sz="4" w:space="0"/>
              <w:bottom w:val="single" w:color="auto" w:sz="4" w:space="0"/>
              <w:right w:val="single" w:color="auto" w:sz="4" w:space="0"/>
            </w:tcBorders>
            <w:noWrap w:val="0"/>
            <w:vAlign w:val="center"/>
          </w:tcPr>
          <w:p w14:paraId="303BC557">
            <w:pPr>
              <w:spacing w:line="360" w:lineRule="exact"/>
              <w:rPr>
                <w:rFonts w:hint="eastAsia" w:ascii="宋体"/>
                <w:color w:val="auto"/>
                <w:szCs w:val="21"/>
              </w:rPr>
            </w:pPr>
            <w:r>
              <w:rPr>
                <w:rFonts w:hint="eastAsia" w:ascii="宋体"/>
                <w:b/>
                <w:color w:val="auto"/>
                <w:szCs w:val="21"/>
              </w:rPr>
              <w:t>（二）进口产品及核心产品说明</w:t>
            </w:r>
          </w:p>
        </w:tc>
      </w:tr>
      <w:tr w14:paraId="74DE2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628" w:type="dxa"/>
            <w:gridSpan w:val="4"/>
            <w:tcBorders>
              <w:top w:val="single" w:color="auto" w:sz="4" w:space="0"/>
              <w:left w:val="single" w:color="auto" w:sz="4" w:space="0"/>
              <w:bottom w:val="single" w:color="auto" w:sz="4" w:space="0"/>
              <w:right w:val="single" w:color="auto" w:sz="4" w:space="0"/>
            </w:tcBorders>
            <w:noWrap w:val="0"/>
            <w:vAlign w:val="center"/>
          </w:tcPr>
          <w:p w14:paraId="50131AC0">
            <w:pPr>
              <w:spacing w:line="360" w:lineRule="exact"/>
              <w:ind w:firstLine="435"/>
              <w:rPr>
                <w:rFonts w:hint="eastAsia" w:ascii="宋体"/>
                <w:color w:val="auto"/>
                <w:szCs w:val="21"/>
              </w:rPr>
            </w:pPr>
            <w:r>
              <w:rPr>
                <w:rFonts w:hint="eastAsia" w:ascii="宋体"/>
                <w:color w:val="auto"/>
                <w:szCs w:val="21"/>
              </w:rPr>
              <w:t>本项目为服务类项目，不设进口产品、核心产品。</w:t>
            </w:r>
          </w:p>
        </w:tc>
      </w:tr>
      <w:tr w14:paraId="65D32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628" w:type="dxa"/>
            <w:gridSpan w:val="4"/>
            <w:tcBorders>
              <w:top w:val="single" w:color="auto" w:sz="4" w:space="0"/>
              <w:left w:val="single" w:color="auto" w:sz="4" w:space="0"/>
              <w:bottom w:val="single" w:color="auto" w:sz="4" w:space="0"/>
              <w:right w:val="single" w:color="auto" w:sz="4" w:space="0"/>
            </w:tcBorders>
            <w:noWrap w:val="0"/>
            <w:vAlign w:val="center"/>
          </w:tcPr>
          <w:p w14:paraId="08ACE968">
            <w:pPr>
              <w:spacing w:line="360" w:lineRule="exact"/>
              <w:rPr>
                <w:rFonts w:hint="eastAsia" w:ascii="宋体"/>
                <w:b/>
                <w:color w:val="auto"/>
                <w:szCs w:val="21"/>
              </w:rPr>
            </w:pPr>
            <w:r>
              <w:rPr>
                <w:rFonts w:hint="eastAsia" w:ascii="宋体"/>
                <w:b/>
                <w:color w:val="auto"/>
                <w:szCs w:val="21"/>
              </w:rPr>
              <w:t>（三）其他要求</w:t>
            </w:r>
          </w:p>
        </w:tc>
      </w:tr>
      <w:tr w14:paraId="4E5C0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628" w:type="dxa"/>
            <w:gridSpan w:val="4"/>
            <w:tcBorders>
              <w:top w:val="single" w:color="auto" w:sz="4" w:space="0"/>
              <w:left w:val="single" w:color="auto" w:sz="4" w:space="0"/>
              <w:bottom w:val="single" w:color="auto" w:sz="4" w:space="0"/>
              <w:right w:val="single" w:color="auto" w:sz="4" w:space="0"/>
            </w:tcBorders>
            <w:noWrap w:val="0"/>
            <w:vAlign w:val="center"/>
          </w:tcPr>
          <w:p w14:paraId="2111BFB2">
            <w:pPr>
              <w:spacing w:line="360" w:lineRule="exact"/>
              <w:ind w:firstLine="420" w:firstLineChars="200"/>
              <w:rPr>
                <w:rFonts w:hint="eastAsia" w:ascii="宋体"/>
                <w:color w:val="auto"/>
                <w:szCs w:val="21"/>
              </w:rPr>
            </w:pPr>
            <w:r>
              <w:rPr>
                <w:rFonts w:hint="eastAsia" w:ascii="宋体"/>
                <w:color w:val="auto"/>
                <w:szCs w:val="21"/>
              </w:rPr>
              <w:t>投标人可根据自身情况编制食材安全措施方案、配送方案、应急方案、管理制度、业绩、资质证明等。</w:t>
            </w:r>
          </w:p>
        </w:tc>
      </w:tr>
      <w:bookmarkEnd w:id="2"/>
    </w:tbl>
    <w:p w14:paraId="0A050449">
      <w:pPr>
        <w:widowControl/>
        <w:jc w:val="left"/>
        <w:rPr>
          <w:rFonts w:hint="eastAsia" w:ascii="宋体"/>
          <w:b/>
          <w:color w:val="auto"/>
          <w:szCs w:val="21"/>
        </w:rPr>
      </w:pPr>
    </w:p>
    <w:p w14:paraId="7CDF934E">
      <w:pPr>
        <w:widowControl/>
        <w:jc w:val="left"/>
        <w:rPr>
          <w:rFonts w:hint="eastAsia" w:ascii="黑体" w:eastAsia="黑体" w:cs="黑体"/>
          <w:color w:val="auto"/>
          <w:sz w:val="32"/>
          <w:szCs w:val="32"/>
        </w:rPr>
      </w:pPr>
      <w:r>
        <w:rPr>
          <w:rFonts w:hint="eastAsia" w:ascii="宋体"/>
          <w:b/>
          <w:color w:val="auto"/>
          <w:szCs w:val="21"/>
        </w:rPr>
        <w:br w:type="page"/>
      </w:r>
      <w:r>
        <w:rPr>
          <w:rFonts w:hint="eastAsia" w:ascii="黑体" w:eastAsia="黑体" w:cs="黑体"/>
          <w:color w:val="auto"/>
          <w:sz w:val="32"/>
          <w:szCs w:val="32"/>
        </w:rPr>
        <w:t>附件：</w:t>
      </w:r>
    </w:p>
    <w:p w14:paraId="6B029E56">
      <w:pPr>
        <w:spacing w:line="380" w:lineRule="exact"/>
        <w:jc w:val="center"/>
        <w:rPr>
          <w:rFonts w:hint="eastAsia"/>
          <w:b/>
          <w:color w:val="auto"/>
          <w:kern w:val="0"/>
          <w:sz w:val="28"/>
          <w:szCs w:val="28"/>
        </w:rPr>
      </w:pPr>
      <w:r>
        <w:rPr>
          <w:rFonts w:hint="eastAsia"/>
          <w:b/>
          <w:color w:val="auto"/>
          <w:kern w:val="0"/>
          <w:sz w:val="28"/>
          <w:szCs w:val="28"/>
        </w:rPr>
        <w:t>中小企业划型标准规定</w:t>
      </w:r>
    </w:p>
    <w:p w14:paraId="2F1D4659">
      <w:pPr>
        <w:spacing w:line="380" w:lineRule="exact"/>
        <w:jc w:val="center"/>
        <w:rPr>
          <w:rFonts w:hint="eastAsia" w:ascii="宋体"/>
          <w:color w:val="auto"/>
          <w:kern w:val="0"/>
          <w:szCs w:val="21"/>
        </w:rPr>
      </w:pPr>
      <w:r>
        <w:rPr>
          <w:rFonts w:hint="eastAsia" w:ascii="宋体"/>
          <w:color w:val="auto"/>
          <w:kern w:val="0"/>
          <w:sz w:val="24"/>
          <w:szCs w:val="21"/>
        </w:rPr>
        <w:t>工信部联企业[2011]300号</w:t>
      </w:r>
    </w:p>
    <w:p w14:paraId="5A760AE6">
      <w:pPr>
        <w:spacing w:line="380" w:lineRule="exact"/>
        <w:rPr>
          <w:rFonts w:hint="eastAsia"/>
          <w:color w:val="auto"/>
          <w:kern w:val="0"/>
          <w:sz w:val="24"/>
          <w:szCs w:val="21"/>
        </w:rPr>
      </w:pPr>
    </w:p>
    <w:p w14:paraId="3729DAE4">
      <w:pPr>
        <w:spacing w:line="380" w:lineRule="exact"/>
        <w:rPr>
          <w:color w:val="auto"/>
          <w:kern w:val="0"/>
          <w:sz w:val="24"/>
          <w:szCs w:val="21"/>
        </w:rPr>
      </w:pPr>
      <w:r>
        <w:rPr>
          <w:rFonts w:hint="eastAsia"/>
          <w:color w:val="auto"/>
          <w:kern w:val="0"/>
          <w:sz w:val="24"/>
          <w:szCs w:val="21"/>
        </w:rPr>
        <w:t>　　一、根据《中华人民共和国中小企业促进法》和《国务院关于进一步促进中小企业发展的若干意见》</w:t>
      </w:r>
      <w:r>
        <w:rPr>
          <w:color w:val="auto"/>
          <w:kern w:val="0"/>
          <w:sz w:val="24"/>
          <w:szCs w:val="21"/>
        </w:rPr>
        <w:t>(</w:t>
      </w:r>
      <w:r>
        <w:rPr>
          <w:rFonts w:hint="eastAsia"/>
          <w:color w:val="auto"/>
          <w:kern w:val="0"/>
          <w:sz w:val="24"/>
          <w:szCs w:val="21"/>
        </w:rPr>
        <w:t>国发</w:t>
      </w:r>
      <w:r>
        <w:rPr>
          <w:color w:val="auto"/>
          <w:kern w:val="0"/>
          <w:sz w:val="24"/>
          <w:szCs w:val="21"/>
        </w:rPr>
        <w:t>[2009]36</w:t>
      </w:r>
      <w:r>
        <w:rPr>
          <w:rFonts w:hint="eastAsia"/>
          <w:color w:val="auto"/>
          <w:kern w:val="0"/>
          <w:sz w:val="24"/>
          <w:szCs w:val="21"/>
        </w:rPr>
        <w:t>号</w:t>
      </w:r>
      <w:r>
        <w:rPr>
          <w:color w:val="auto"/>
          <w:kern w:val="0"/>
          <w:sz w:val="24"/>
          <w:szCs w:val="21"/>
        </w:rPr>
        <w:t>)</w:t>
      </w:r>
      <w:r>
        <w:rPr>
          <w:rFonts w:hint="eastAsia"/>
          <w:color w:val="auto"/>
          <w:kern w:val="0"/>
          <w:sz w:val="24"/>
          <w:szCs w:val="21"/>
        </w:rPr>
        <w:t>，制定本规定。</w:t>
      </w:r>
    </w:p>
    <w:p w14:paraId="787196AA">
      <w:pPr>
        <w:spacing w:line="380" w:lineRule="exact"/>
        <w:rPr>
          <w:color w:val="auto"/>
          <w:kern w:val="0"/>
          <w:sz w:val="24"/>
          <w:szCs w:val="21"/>
        </w:rPr>
      </w:pPr>
      <w:r>
        <w:rPr>
          <w:rFonts w:hint="eastAsia"/>
          <w:color w:val="auto"/>
          <w:kern w:val="0"/>
          <w:sz w:val="24"/>
          <w:szCs w:val="21"/>
        </w:rPr>
        <w:t>　　二、中小企业划分为中型、小型、微型三种类型，具体标准根据企业从业人员、营业收入、资产总额等指标，结合行业特点制定。</w:t>
      </w:r>
    </w:p>
    <w:p w14:paraId="7D3DCFCE">
      <w:pPr>
        <w:spacing w:line="380" w:lineRule="exact"/>
        <w:rPr>
          <w:color w:val="auto"/>
          <w:kern w:val="0"/>
          <w:sz w:val="24"/>
          <w:szCs w:val="21"/>
        </w:rPr>
      </w:pPr>
      <w:r>
        <w:rPr>
          <w:rFonts w:hint="eastAsia"/>
          <w:color w:val="auto"/>
          <w:kern w:val="0"/>
          <w:sz w:val="24"/>
          <w:szCs w:val="21"/>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10D9E50">
      <w:pPr>
        <w:spacing w:line="380" w:lineRule="exact"/>
        <w:rPr>
          <w:color w:val="auto"/>
          <w:kern w:val="0"/>
          <w:sz w:val="24"/>
          <w:szCs w:val="21"/>
        </w:rPr>
      </w:pPr>
      <w:r>
        <w:rPr>
          <w:rFonts w:hint="eastAsia"/>
          <w:color w:val="auto"/>
          <w:kern w:val="0"/>
          <w:sz w:val="24"/>
          <w:szCs w:val="21"/>
        </w:rPr>
        <w:t>　　四、各行业划型标准为：</w:t>
      </w:r>
    </w:p>
    <w:p w14:paraId="40D80926">
      <w:pPr>
        <w:spacing w:line="380" w:lineRule="exact"/>
        <w:rPr>
          <w:color w:val="auto"/>
          <w:kern w:val="0"/>
          <w:sz w:val="24"/>
          <w:szCs w:val="21"/>
        </w:rPr>
      </w:pPr>
      <w:r>
        <w:rPr>
          <w:rFonts w:hint="eastAsia"/>
          <w:color w:val="auto"/>
          <w:kern w:val="0"/>
          <w:sz w:val="24"/>
          <w:szCs w:val="21"/>
        </w:rPr>
        <w:t>　　（一）农、林、牧、渔业。营业收入</w:t>
      </w:r>
      <w:r>
        <w:rPr>
          <w:color w:val="auto"/>
          <w:kern w:val="0"/>
          <w:sz w:val="24"/>
          <w:szCs w:val="21"/>
        </w:rPr>
        <w:t>20000</w:t>
      </w:r>
      <w:r>
        <w:rPr>
          <w:rFonts w:hint="eastAsia"/>
          <w:color w:val="auto"/>
          <w:kern w:val="0"/>
          <w:sz w:val="24"/>
          <w:szCs w:val="21"/>
        </w:rPr>
        <w:t>万元以下的为中小微型企业。其中，营业收入</w:t>
      </w:r>
      <w:r>
        <w:rPr>
          <w:color w:val="auto"/>
          <w:kern w:val="0"/>
          <w:sz w:val="24"/>
          <w:szCs w:val="21"/>
        </w:rPr>
        <w:t>500</w:t>
      </w:r>
      <w:r>
        <w:rPr>
          <w:rFonts w:hint="eastAsia"/>
          <w:color w:val="auto"/>
          <w:kern w:val="0"/>
          <w:sz w:val="24"/>
          <w:szCs w:val="21"/>
        </w:rPr>
        <w:t>万元及以上的为中型企业，营业收入</w:t>
      </w:r>
      <w:r>
        <w:rPr>
          <w:color w:val="auto"/>
          <w:kern w:val="0"/>
          <w:sz w:val="24"/>
          <w:szCs w:val="21"/>
        </w:rPr>
        <w:t>50</w:t>
      </w:r>
      <w:r>
        <w:rPr>
          <w:rFonts w:hint="eastAsia"/>
          <w:color w:val="auto"/>
          <w:kern w:val="0"/>
          <w:sz w:val="24"/>
          <w:szCs w:val="21"/>
        </w:rPr>
        <w:t>万元及以上的为小型企业，营业收入</w:t>
      </w:r>
      <w:r>
        <w:rPr>
          <w:color w:val="auto"/>
          <w:kern w:val="0"/>
          <w:sz w:val="24"/>
          <w:szCs w:val="21"/>
        </w:rPr>
        <w:t>50</w:t>
      </w:r>
      <w:r>
        <w:rPr>
          <w:rFonts w:hint="eastAsia"/>
          <w:color w:val="auto"/>
          <w:kern w:val="0"/>
          <w:sz w:val="24"/>
          <w:szCs w:val="21"/>
        </w:rPr>
        <w:t>万元以下的为微型企业。</w:t>
      </w:r>
    </w:p>
    <w:p w14:paraId="29D8D9C7">
      <w:pPr>
        <w:spacing w:line="380" w:lineRule="exact"/>
        <w:rPr>
          <w:color w:val="auto"/>
          <w:kern w:val="0"/>
          <w:sz w:val="24"/>
          <w:szCs w:val="21"/>
        </w:rPr>
      </w:pPr>
      <w:r>
        <w:rPr>
          <w:rFonts w:hint="eastAsia"/>
          <w:color w:val="auto"/>
          <w:kern w:val="0"/>
          <w:sz w:val="24"/>
          <w:szCs w:val="21"/>
        </w:rPr>
        <w:t>　　（二）工业。从业人员</w:t>
      </w:r>
      <w:r>
        <w:rPr>
          <w:color w:val="auto"/>
          <w:kern w:val="0"/>
          <w:sz w:val="24"/>
          <w:szCs w:val="21"/>
        </w:rPr>
        <w:t>1000</w:t>
      </w:r>
      <w:r>
        <w:rPr>
          <w:rFonts w:hint="eastAsia"/>
          <w:color w:val="auto"/>
          <w:kern w:val="0"/>
          <w:sz w:val="24"/>
          <w:szCs w:val="21"/>
        </w:rPr>
        <w:t>人以下或营业收入</w:t>
      </w:r>
      <w:r>
        <w:rPr>
          <w:color w:val="auto"/>
          <w:kern w:val="0"/>
          <w:sz w:val="24"/>
          <w:szCs w:val="21"/>
        </w:rPr>
        <w:t>40000</w:t>
      </w:r>
      <w:r>
        <w:rPr>
          <w:rFonts w:hint="eastAsia"/>
          <w:color w:val="auto"/>
          <w:kern w:val="0"/>
          <w:sz w:val="24"/>
          <w:szCs w:val="21"/>
        </w:rPr>
        <w:t>万元以下的为中小微型企业。其中，从业人员</w:t>
      </w:r>
      <w:r>
        <w:rPr>
          <w:color w:val="auto"/>
          <w:kern w:val="0"/>
          <w:sz w:val="24"/>
          <w:szCs w:val="21"/>
        </w:rPr>
        <w:t>300</w:t>
      </w:r>
      <w:r>
        <w:rPr>
          <w:rFonts w:hint="eastAsia"/>
          <w:color w:val="auto"/>
          <w:kern w:val="0"/>
          <w:sz w:val="24"/>
          <w:szCs w:val="21"/>
        </w:rPr>
        <w:t>人及以上，且营业收入</w:t>
      </w:r>
      <w:r>
        <w:rPr>
          <w:color w:val="auto"/>
          <w:kern w:val="0"/>
          <w:sz w:val="24"/>
          <w:szCs w:val="21"/>
        </w:rPr>
        <w:t>2000</w:t>
      </w:r>
      <w:r>
        <w:rPr>
          <w:rFonts w:hint="eastAsia"/>
          <w:color w:val="auto"/>
          <w:kern w:val="0"/>
          <w:sz w:val="24"/>
          <w:szCs w:val="21"/>
        </w:rPr>
        <w:t>万元及以上的为中型企业；从业人员</w:t>
      </w:r>
      <w:r>
        <w:rPr>
          <w:color w:val="auto"/>
          <w:kern w:val="0"/>
          <w:sz w:val="24"/>
          <w:szCs w:val="21"/>
        </w:rPr>
        <w:t>20</w:t>
      </w:r>
      <w:r>
        <w:rPr>
          <w:rFonts w:hint="eastAsia"/>
          <w:color w:val="auto"/>
          <w:kern w:val="0"/>
          <w:sz w:val="24"/>
          <w:szCs w:val="21"/>
        </w:rPr>
        <w:t>人及以上，且营业收入</w:t>
      </w:r>
      <w:r>
        <w:rPr>
          <w:color w:val="auto"/>
          <w:kern w:val="0"/>
          <w:sz w:val="24"/>
          <w:szCs w:val="21"/>
        </w:rPr>
        <w:t>300</w:t>
      </w:r>
      <w:r>
        <w:rPr>
          <w:rFonts w:hint="eastAsia"/>
          <w:color w:val="auto"/>
          <w:kern w:val="0"/>
          <w:sz w:val="24"/>
          <w:szCs w:val="21"/>
        </w:rPr>
        <w:t>万元及以上的为小型企业；从业人员</w:t>
      </w:r>
      <w:r>
        <w:rPr>
          <w:color w:val="auto"/>
          <w:kern w:val="0"/>
          <w:sz w:val="24"/>
          <w:szCs w:val="21"/>
        </w:rPr>
        <w:t>20</w:t>
      </w:r>
      <w:r>
        <w:rPr>
          <w:rFonts w:hint="eastAsia"/>
          <w:color w:val="auto"/>
          <w:kern w:val="0"/>
          <w:sz w:val="24"/>
          <w:szCs w:val="21"/>
        </w:rPr>
        <w:t>人以下或营业收入</w:t>
      </w:r>
      <w:r>
        <w:rPr>
          <w:color w:val="auto"/>
          <w:kern w:val="0"/>
          <w:sz w:val="24"/>
          <w:szCs w:val="21"/>
        </w:rPr>
        <w:t>300</w:t>
      </w:r>
      <w:r>
        <w:rPr>
          <w:rFonts w:hint="eastAsia"/>
          <w:color w:val="auto"/>
          <w:kern w:val="0"/>
          <w:sz w:val="24"/>
          <w:szCs w:val="21"/>
        </w:rPr>
        <w:t>万元以下的为微型企业。</w:t>
      </w:r>
    </w:p>
    <w:p w14:paraId="10BC6403">
      <w:pPr>
        <w:spacing w:line="380" w:lineRule="exact"/>
        <w:rPr>
          <w:color w:val="auto"/>
          <w:kern w:val="0"/>
          <w:sz w:val="24"/>
          <w:szCs w:val="21"/>
        </w:rPr>
      </w:pPr>
      <w:r>
        <w:rPr>
          <w:rFonts w:hint="eastAsia"/>
          <w:color w:val="auto"/>
          <w:kern w:val="0"/>
          <w:sz w:val="24"/>
          <w:szCs w:val="21"/>
        </w:rPr>
        <w:t>　　（三）建筑业。营业收入</w:t>
      </w:r>
      <w:r>
        <w:rPr>
          <w:color w:val="auto"/>
          <w:kern w:val="0"/>
          <w:sz w:val="24"/>
          <w:szCs w:val="21"/>
        </w:rPr>
        <w:t>80000</w:t>
      </w:r>
      <w:r>
        <w:rPr>
          <w:rFonts w:hint="eastAsia"/>
          <w:color w:val="auto"/>
          <w:kern w:val="0"/>
          <w:sz w:val="24"/>
          <w:szCs w:val="21"/>
        </w:rPr>
        <w:t>万元以下或资产总额</w:t>
      </w:r>
      <w:r>
        <w:rPr>
          <w:color w:val="auto"/>
          <w:kern w:val="0"/>
          <w:sz w:val="24"/>
          <w:szCs w:val="21"/>
        </w:rPr>
        <w:t>80000</w:t>
      </w:r>
      <w:r>
        <w:rPr>
          <w:rFonts w:hint="eastAsia"/>
          <w:color w:val="auto"/>
          <w:kern w:val="0"/>
          <w:sz w:val="24"/>
          <w:szCs w:val="21"/>
        </w:rPr>
        <w:t>万元以下的为中小微型企业。其中，营业收入</w:t>
      </w:r>
      <w:r>
        <w:rPr>
          <w:color w:val="auto"/>
          <w:kern w:val="0"/>
          <w:sz w:val="24"/>
          <w:szCs w:val="21"/>
        </w:rPr>
        <w:t>6000</w:t>
      </w:r>
      <w:r>
        <w:rPr>
          <w:rFonts w:hint="eastAsia"/>
          <w:color w:val="auto"/>
          <w:kern w:val="0"/>
          <w:sz w:val="24"/>
          <w:szCs w:val="21"/>
        </w:rPr>
        <w:t>万元及以上，且资产总额</w:t>
      </w:r>
      <w:r>
        <w:rPr>
          <w:color w:val="auto"/>
          <w:kern w:val="0"/>
          <w:sz w:val="24"/>
          <w:szCs w:val="21"/>
        </w:rPr>
        <w:t>5000</w:t>
      </w:r>
      <w:r>
        <w:rPr>
          <w:rFonts w:hint="eastAsia"/>
          <w:color w:val="auto"/>
          <w:kern w:val="0"/>
          <w:sz w:val="24"/>
          <w:szCs w:val="21"/>
        </w:rPr>
        <w:t>万元及以上的为中型企业；营业收入</w:t>
      </w:r>
      <w:r>
        <w:rPr>
          <w:color w:val="auto"/>
          <w:kern w:val="0"/>
          <w:sz w:val="24"/>
          <w:szCs w:val="21"/>
        </w:rPr>
        <w:t>300</w:t>
      </w:r>
      <w:r>
        <w:rPr>
          <w:rFonts w:hint="eastAsia"/>
          <w:color w:val="auto"/>
          <w:kern w:val="0"/>
          <w:sz w:val="24"/>
          <w:szCs w:val="21"/>
        </w:rPr>
        <w:t>万元及以上，且资产总额</w:t>
      </w:r>
      <w:r>
        <w:rPr>
          <w:color w:val="auto"/>
          <w:kern w:val="0"/>
          <w:sz w:val="24"/>
          <w:szCs w:val="21"/>
        </w:rPr>
        <w:t>300</w:t>
      </w:r>
      <w:r>
        <w:rPr>
          <w:rFonts w:hint="eastAsia"/>
          <w:color w:val="auto"/>
          <w:kern w:val="0"/>
          <w:sz w:val="24"/>
          <w:szCs w:val="21"/>
        </w:rPr>
        <w:t>万元及以上的为小型企业；营业收入</w:t>
      </w:r>
      <w:r>
        <w:rPr>
          <w:color w:val="auto"/>
          <w:kern w:val="0"/>
          <w:sz w:val="24"/>
          <w:szCs w:val="21"/>
        </w:rPr>
        <w:t>300</w:t>
      </w:r>
      <w:r>
        <w:rPr>
          <w:rFonts w:hint="eastAsia"/>
          <w:color w:val="auto"/>
          <w:kern w:val="0"/>
          <w:sz w:val="24"/>
          <w:szCs w:val="21"/>
        </w:rPr>
        <w:t>万元以下或资产总额</w:t>
      </w:r>
      <w:r>
        <w:rPr>
          <w:color w:val="auto"/>
          <w:kern w:val="0"/>
          <w:sz w:val="24"/>
          <w:szCs w:val="21"/>
        </w:rPr>
        <w:t>300</w:t>
      </w:r>
      <w:r>
        <w:rPr>
          <w:rFonts w:hint="eastAsia"/>
          <w:color w:val="auto"/>
          <w:kern w:val="0"/>
          <w:sz w:val="24"/>
          <w:szCs w:val="21"/>
        </w:rPr>
        <w:t>万元以下的为微型企业。</w:t>
      </w:r>
    </w:p>
    <w:p w14:paraId="2CEDCB4A">
      <w:pPr>
        <w:spacing w:line="380" w:lineRule="exact"/>
        <w:rPr>
          <w:color w:val="auto"/>
          <w:kern w:val="0"/>
          <w:sz w:val="24"/>
          <w:szCs w:val="21"/>
        </w:rPr>
      </w:pPr>
      <w:r>
        <w:rPr>
          <w:rFonts w:hint="eastAsia"/>
          <w:color w:val="auto"/>
          <w:kern w:val="0"/>
          <w:sz w:val="24"/>
          <w:szCs w:val="21"/>
        </w:rPr>
        <w:t>　　（四）批发业。从业人员</w:t>
      </w:r>
      <w:r>
        <w:rPr>
          <w:color w:val="auto"/>
          <w:kern w:val="0"/>
          <w:sz w:val="24"/>
          <w:szCs w:val="21"/>
        </w:rPr>
        <w:t>200</w:t>
      </w:r>
      <w:r>
        <w:rPr>
          <w:rFonts w:hint="eastAsia"/>
          <w:color w:val="auto"/>
          <w:kern w:val="0"/>
          <w:sz w:val="24"/>
          <w:szCs w:val="21"/>
        </w:rPr>
        <w:t>人以下或营业收入</w:t>
      </w:r>
      <w:r>
        <w:rPr>
          <w:color w:val="auto"/>
          <w:kern w:val="0"/>
          <w:sz w:val="24"/>
          <w:szCs w:val="21"/>
        </w:rPr>
        <w:t>40000</w:t>
      </w:r>
      <w:r>
        <w:rPr>
          <w:rFonts w:hint="eastAsia"/>
          <w:color w:val="auto"/>
          <w:kern w:val="0"/>
          <w:sz w:val="24"/>
          <w:szCs w:val="21"/>
        </w:rPr>
        <w:t>万元以下的为中小微型企业。其中，从业人员</w:t>
      </w:r>
      <w:r>
        <w:rPr>
          <w:color w:val="auto"/>
          <w:kern w:val="0"/>
          <w:sz w:val="24"/>
          <w:szCs w:val="21"/>
        </w:rPr>
        <w:t>20</w:t>
      </w:r>
      <w:r>
        <w:rPr>
          <w:rFonts w:hint="eastAsia"/>
          <w:color w:val="auto"/>
          <w:kern w:val="0"/>
          <w:sz w:val="24"/>
          <w:szCs w:val="21"/>
        </w:rPr>
        <w:t>人及以上，且营业收入</w:t>
      </w:r>
      <w:r>
        <w:rPr>
          <w:color w:val="auto"/>
          <w:kern w:val="0"/>
          <w:sz w:val="24"/>
          <w:szCs w:val="21"/>
        </w:rPr>
        <w:t>5000</w:t>
      </w:r>
      <w:r>
        <w:rPr>
          <w:rFonts w:hint="eastAsia"/>
          <w:color w:val="auto"/>
          <w:kern w:val="0"/>
          <w:sz w:val="24"/>
          <w:szCs w:val="21"/>
        </w:rPr>
        <w:t>万元及以上的为中型企业；从业人员</w:t>
      </w:r>
      <w:r>
        <w:rPr>
          <w:color w:val="auto"/>
          <w:kern w:val="0"/>
          <w:sz w:val="24"/>
          <w:szCs w:val="21"/>
        </w:rPr>
        <w:t>5</w:t>
      </w:r>
      <w:r>
        <w:rPr>
          <w:rFonts w:hint="eastAsia"/>
          <w:color w:val="auto"/>
          <w:kern w:val="0"/>
          <w:sz w:val="24"/>
          <w:szCs w:val="21"/>
        </w:rPr>
        <w:t>人及以上，且营业收入</w:t>
      </w:r>
      <w:r>
        <w:rPr>
          <w:color w:val="auto"/>
          <w:kern w:val="0"/>
          <w:sz w:val="24"/>
          <w:szCs w:val="21"/>
        </w:rPr>
        <w:t>1000</w:t>
      </w:r>
      <w:r>
        <w:rPr>
          <w:rFonts w:hint="eastAsia"/>
          <w:color w:val="auto"/>
          <w:kern w:val="0"/>
          <w:sz w:val="24"/>
          <w:szCs w:val="21"/>
        </w:rPr>
        <w:t>万元及以上的为小型企业；从业人员</w:t>
      </w:r>
      <w:r>
        <w:rPr>
          <w:color w:val="auto"/>
          <w:kern w:val="0"/>
          <w:sz w:val="24"/>
          <w:szCs w:val="21"/>
        </w:rPr>
        <w:t>5</w:t>
      </w:r>
      <w:r>
        <w:rPr>
          <w:rFonts w:hint="eastAsia"/>
          <w:color w:val="auto"/>
          <w:kern w:val="0"/>
          <w:sz w:val="24"/>
          <w:szCs w:val="21"/>
        </w:rPr>
        <w:t>人以下或营业收入</w:t>
      </w:r>
      <w:r>
        <w:rPr>
          <w:color w:val="auto"/>
          <w:kern w:val="0"/>
          <w:sz w:val="24"/>
          <w:szCs w:val="21"/>
        </w:rPr>
        <w:t>1000</w:t>
      </w:r>
      <w:r>
        <w:rPr>
          <w:rFonts w:hint="eastAsia"/>
          <w:color w:val="auto"/>
          <w:kern w:val="0"/>
          <w:sz w:val="24"/>
          <w:szCs w:val="21"/>
        </w:rPr>
        <w:t>万元以下的为微型企业。</w:t>
      </w:r>
    </w:p>
    <w:p w14:paraId="6FB83BC3">
      <w:pPr>
        <w:spacing w:line="380" w:lineRule="exact"/>
        <w:rPr>
          <w:color w:val="auto"/>
          <w:kern w:val="0"/>
          <w:sz w:val="24"/>
          <w:szCs w:val="21"/>
        </w:rPr>
      </w:pPr>
      <w:r>
        <w:rPr>
          <w:rFonts w:hint="eastAsia"/>
          <w:color w:val="auto"/>
          <w:kern w:val="0"/>
          <w:sz w:val="24"/>
          <w:szCs w:val="21"/>
        </w:rPr>
        <w:t>　　（五）零售业。从业人员</w:t>
      </w:r>
      <w:r>
        <w:rPr>
          <w:color w:val="auto"/>
          <w:kern w:val="0"/>
          <w:sz w:val="24"/>
          <w:szCs w:val="21"/>
        </w:rPr>
        <w:t>300</w:t>
      </w:r>
      <w:r>
        <w:rPr>
          <w:rFonts w:hint="eastAsia"/>
          <w:color w:val="auto"/>
          <w:kern w:val="0"/>
          <w:sz w:val="24"/>
          <w:szCs w:val="21"/>
        </w:rPr>
        <w:t>人以下或营业收入</w:t>
      </w:r>
      <w:r>
        <w:rPr>
          <w:color w:val="auto"/>
          <w:kern w:val="0"/>
          <w:sz w:val="24"/>
          <w:szCs w:val="21"/>
        </w:rPr>
        <w:t>20000</w:t>
      </w:r>
      <w:r>
        <w:rPr>
          <w:rFonts w:hint="eastAsia"/>
          <w:color w:val="auto"/>
          <w:kern w:val="0"/>
          <w:sz w:val="24"/>
          <w:szCs w:val="21"/>
        </w:rPr>
        <w:t>万元以下的为中小微型企业。其中，从业人员</w:t>
      </w:r>
      <w:r>
        <w:rPr>
          <w:color w:val="auto"/>
          <w:kern w:val="0"/>
          <w:sz w:val="24"/>
          <w:szCs w:val="21"/>
        </w:rPr>
        <w:t>50</w:t>
      </w:r>
      <w:r>
        <w:rPr>
          <w:rFonts w:hint="eastAsia"/>
          <w:color w:val="auto"/>
          <w:kern w:val="0"/>
          <w:sz w:val="24"/>
          <w:szCs w:val="21"/>
        </w:rPr>
        <w:t>人及以上，且营业收入</w:t>
      </w:r>
      <w:r>
        <w:rPr>
          <w:color w:val="auto"/>
          <w:kern w:val="0"/>
          <w:sz w:val="24"/>
          <w:szCs w:val="21"/>
        </w:rPr>
        <w:t>500</w:t>
      </w:r>
      <w:r>
        <w:rPr>
          <w:rFonts w:hint="eastAsia"/>
          <w:color w:val="auto"/>
          <w:kern w:val="0"/>
          <w:sz w:val="24"/>
          <w:szCs w:val="21"/>
        </w:rPr>
        <w:t>万元及以上的为中型企业；从业人员</w:t>
      </w:r>
      <w:r>
        <w:rPr>
          <w:color w:val="auto"/>
          <w:kern w:val="0"/>
          <w:sz w:val="24"/>
          <w:szCs w:val="21"/>
        </w:rPr>
        <w:t>10</w:t>
      </w:r>
      <w:r>
        <w:rPr>
          <w:rFonts w:hint="eastAsia"/>
          <w:color w:val="auto"/>
          <w:kern w:val="0"/>
          <w:sz w:val="24"/>
          <w:szCs w:val="21"/>
        </w:rPr>
        <w:t>人及以上，且营业收入</w:t>
      </w:r>
      <w:r>
        <w:rPr>
          <w:color w:val="auto"/>
          <w:kern w:val="0"/>
          <w:sz w:val="24"/>
          <w:szCs w:val="21"/>
        </w:rPr>
        <w:t>100</w:t>
      </w:r>
      <w:r>
        <w:rPr>
          <w:rFonts w:hint="eastAsia"/>
          <w:color w:val="auto"/>
          <w:kern w:val="0"/>
          <w:sz w:val="24"/>
          <w:szCs w:val="21"/>
        </w:rPr>
        <w:t>万元及以上的为小型企业；从业人员</w:t>
      </w:r>
      <w:r>
        <w:rPr>
          <w:color w:val="auto"/>
          <w:kern w:val="0"/>
          <w:sz w:val="24"/>
          <w:szCs w:val="21"/>
        </w:rPr>
        <w:t>10</w:t>
      </w:r>
      <w:r>
        <w:rPr>
          <w:rFonts w:hint="eastAsia"/>
          <w:color w:val="auto"/>
          <w:kern w:val="0"/>
          <w:sz w:val="24"/>
          <w:szCs w:val="21"/>
        </w:rPr>
        <w:t>人以下或营业收入</w:t>
      </w:r>
      <w:r>
        <w:rPr>
          <w:color w:val="auto"/>
          <w:kern w:val="0"/>
          <w:sz w:val="24"/>
          <w:szCs w:val="21"/>
        </w:rPr>
        <w:t>100</w:t>
      </w:r>
      <w:r>
        <w:rPr>
          <w:rFonts w:hint="eastAsia"/>
          <w:color w:val="auto"/>
          <w:kern w:val="0"/>
          <w:sz w:val="24"/>
          <w:szCs w:val="21"/>
        </w:rPr>
        <w:t>万元以下的为微型企业。</w:t>
      </w:r>
    </w:p>
    <w:p w14:paraId="7087A74F">
      <w:pPr>
        <w:spacing w:line="380" w:lineRule="exact"/>
        <w:rPr>
          <w:color w:val="auto"/>
          <w:kern w:val="0"/>
          <w:sz w:val="24"/>
          <w:szCs w:val="21"/>
        </w:rPr>
      </w:pPr>
      <w:r>
        <w:rPr>
          <w:rFonts w:hint="eastAsia"/>
          <w:color w:val="auto"/>
          <w:kern w:val="0"/>
          <w:sz w:val="24"/>
          <w:szCs w:val="21"/>
        </w:rPr>
        <w:t>　　（六）交通运输业。从业人员</w:t>
      </w:r>
      <w:r>
        <w:rPr>
          <w:color w:val="auto"/>
          <w:kern w:val="0"/>
          <w:sz w:val="24"/>
          <w:szCs w:val="21"/>
        </w:rPr>
        <w:t>1000</w:t>
      </w:r>
      <w:r>
        <w:rPr>
          <w:rFonts w:hint="eastAsia"/>
          <w:color w:val="auto"/>
          <w:kern w:val="0"/>
          <w:sz w:val="24"/>
          <w:szCs w:val="21"/>
        </w:rPr>
        <w:t>人以下或营业收入</w:t>
      </w:r>
      <w:r>
        <w:rPr>
          <w:color w:val="auto"/>
          <w:kern w:val="0"/>
          <w:sz w:val="24"/>
          <w:szCs w:val="21"/>
        </w:rPr>
        <w:t>30000</w:t>
      </w:r>
      <w:r>
        <w:rPr>
          <w:rFonts w:hint="eastAsia"/>
          <w:color w:val="auto"/>
          <w:kern w:val="0"/>
          <w:sz w:val="24"/>
          <w:szCs w:val="21"/>
        </w:rPr>
        <w:t>万元以下的为中小微型企业。其中，从业人员</w:t>
      </w:r>
      <w:r>
        <w:rPr>
          <w:color w:val="auto"/>
          <w:kern w:val="0"/>
          <w:sz w:val="24"/>
          <w:szCs w:val="21"/>
        </w:rPr>
        <w:t>300</w:t>
      </w:r>
      <w:r>
        <w:rPr>
          <w:rFonts w:hint="eastAsia"/>
          <w:color w:val="auto"/>
          <w:kern w:val="0"/>
          <w:sz w:val="24"/>
          <w:szCs w:val="21"/>
        </w:rPr>
        <w:t>人及以上，且营业收入</w:t>
      </w:r>
      <w:r>
        <w:rPr>
          <w:color w:val="auto"/>
          <w:kern w:val="0"/>
          <w:sz w:val="24"/>
          <w:szCs w:val="21"/>
        </w:rPr>
        <w:t>3000</w:t>
      </w:r>
      <w:r>
        <w:rPr>
          <w:rFonts w:hint="eastAsia"/>
          <w:color w:val="auto"/>
          <w:kern w:val="0"/>
          <w:sz w:val="24"/>
          <w:szCs w:val="21"/>
        </w:rPr>
        <w:t>万元及以上的为中型企业；从业人员</w:t>
      </w:r>
      <w:r>
        <w:rPr>
          <w:color w:val="auto"/>
          <w:kern w:val="0"/>
          <w:sz w:val="24"/>
          <w:szCs w:val="21"/>
        </w:rPr>
        <w:t>20</w:t>
      </w:r>
      <w:r>
        <w:rPr>
          <w:rFonts w:hint="eastAsia"/>
          <w:color w:val="auto"/>
          <w:kern w:val="0"/>
          <w:sz w:val="24"/>
          <w:szCs w:val="21"/>
        </w:rPr>
        <w:t>人及以上，且营业收入</w:t>
      </w:r>
      <w:r>
        <w:rPr>
          <w:color w:val="auto"/>
          <w:kern w:val="0"/>
          <w:sz w:val="24"/>
          <w:szCs w:val="21"/>
        </w:rPr>
        <w:t>200</w:t>
      </w:r>
      <w:r>
        <w:rPr>
          <w:rFonts w:hint="eastAsia"/>
          <w:color w:val="auto"/>
          <w:kern w:val="0"/>
          <w:sz w:val="24"/>
          <w:szCs w:val="21"/>
        </w:rPr>
        <w:t>万元及以上的为小型企业；从业人员</w:t>
      </w:r>
      <w:r>
        <w:rPr>
          <w:color w:val="auto"/>
          <w:kern w:val="0"/>
          <w:sz w:val="24"/>
          <w:szCs w:val="21"/>
        </w:rPr>
        <w:t>20</w:t>
      </w:r>
      <w:r>
        <w:rPr>
          <w:rFonts w:hint="eastAsia"/>
          <w:color w:val="auto"/>
          <w:kern w:val="0"/>
          <w:sz w:val="24"/>
          <w:szCs w:val="21"/>
        </w:rPr>
        <w:t>人以下或营业收入</w:t>
      </w:r>
      <w:r>
        <w:rPr>
          <w:color w:val="auto"/>
          <w:kern w:val="0"/>
          <w:sz w:val="24"/>
          <w:szCs w:val="21"/>
        </w:rPr>
        <w:t>200</w:t>
      </w:r>
      <w:r>
        <w:rPr>
          <w:rFonts w:hint="eastAsia"/>
          <w:color w:val="auto"/>
          <w:kern w:val="0"/>
          <w:sz w:val="24"/>
          <w:szCs w:val="21"/>
        </w:rPr>
        <w:t>万元以下的为微型企业。</w:t>
      </w:r>
    </w:p>
    <w:p w14:paraId="40AF3798">
      <w:pPr>
        <w:spacing w:line="380" w:lineRule="exact"/>
        <w:rPr>
          <w:color w:val="auto"/>
          <w:kern w:val="0"/>
          <w:sz w:val="24"/>
          <w:szCs w:val="21"/>
        </w:rPr>
      </w:pPr>
      <w:r>
        <w:rPr>
          <w:rFonts w:hint="eastAsia"/>
          <w:color w:val="auto"/>
          <w:kern w:val="0"/>
          <w:sz w:val="24"/>
          <w:szCs w:val="21"/>
        </w:rPr>
        <w:t>　　（七）仓储业。从业人员</w:t>
      </w:r>
      <w:r>
        <w:rPr>
          <w:color w:val="auto"/>
          <w:kern w:val="0"/>
          <w:sz w:val="24"/>
          <w:szCs w:val="21"/>
        </w:rPr>
        <w:t>200</w:t>
      </w:r>
      <w:r>
        <w:rPr>
          <w:rFonts w:hint="eastAsia"/>
          <w:color w:val="auto"/>
          <w:kern w:val="0"/>
          <w:sz w:val="24"/>
          <w:szCs w:val="21"/>
        </w:rPr>
        <w:t>人以下或营业收入</w:t>
      </w:r>
      <w:r>
        <w:rPr>
          <w:color w:val="auto"/>
          <w:kern w:val="0"/>
          <w:sz w:val="24"/>
          <w:szCs w:val="21"/>
        </w:rPr>
        <w:t>30000</w:t>
      </w:r>
      <w:r>
        <w:rPr>
          <w:rFonts w:hint="eastAsia"/>
          <w:color w:val="auto"/>
          <w:kern w:val="0"/>
          <w:sz w:val="24"/>
          <w:szCs w:val="21"/>
        </w:rPr>
        <w:t>万元以下的为中小微型企业。其中，从业人员</w:t>
      </w:r>
      <w:r>
        <w:rPr>
          <w:color w:val="auto"/>
          <w:kern w:val="0"/>
          <w:sz w:val="24"/>
          <w:szCs w:val="21"/>
        </w:rPr>
        <w:t>100</w:t>
      </w:r>
      <w:r>
        <w:rPr>
          <w:rFonts w:hint="eastAsia"/>
          <w:color w:val="auto"/>
          <w:kern w:val="0"/>
          <w:sz w:val="24"/>
          <w:szCs w:val="21"/>
        </w:rPr>
        <w:t>人及以上，且营业收入</w:t>
      </w:r>
      <w:r>
        <w:rPr>
          <w:color w:val="auto"/>
          <w:kern w:val="0"/>
          <w:sz w:val="24"/>
          <w:szCs w:val="21"/>
        </w:rPr>
        <w:t>1000</w:t>
      </w:r>
      <w:r>
        <w:rPr>
          <w:rFonts w:hint="eastAsia"/>
          <w:color w:val="auto"/>
          <w:kern w:val="0"/>
          <w:sz w:val="24"/>
          <w:szCs w:val="21"/>
        </w:rPr>
        <w:t>万元及以上的为中型企业；从业人员</w:t>
      </w:r>
      <w:r>
        <w:rPr>
          <w:color w:val="auto"/>
          <w:kern w:val="0"/>
          <w:sz w:val="24"/>
          <w:szCs w:val="21"/>
        </w:rPr>
        <w:t>20</w:t>
      </w:r>
      <w:r>
        <w:rPr>
          <w:rFonts w:hint="eastAsia"/>
          <w:color w:val="auto"/>
          <w:kern w:val="0"/>
          <w:sz w:val="24"/>
          <w:szCs w:val="21"/>
        </w:rPr>
        <w:t>人及以上，且营业收入</w:t>
      </w:r>
      <w:r>
        <w:rPr>
          <w:color w:val="auto"/>
          <w:kern w:val="0"/>
          <w:sz w:val="24"/>
          <w:szCs w:val="21"/>
        </w:rPr>
        <w:t>100</w:t>
      </w:r>
      <w:r>
        <w:rPr>
          <w:rFonts w:hint="eastAsia"/>
          <w:color w:val="auto"/>
          <w:kern w:val="0"/>
          <w:sz w:val="24"/>
          <w:szCs w:val="21"/>
        </w:rPr>
        <w:t>万元及以上的为小型企业；从业人员</w:t>
      </w:r>
      <w:r>
        <w:rPr>
          <w:color w:val="auto"/>
          <w:kern w:val="0"/>
          <w:sz w:val="24"/>
          <w:szCs w:val="21"/>
        </w:rPr>
        <w:t>20</w:t>
      </w:r>
      <w:r>
        <w:rPr>
          <w:rFonts w:hint="eastAsia"/>
          <w:color w:val="auto"/>
          <w:kern w:val="0"/>
          <w:sz w:val="24"/>
          <w:szCs w:val="21"/>
        </w:rPr>
        <w:t>人以下或营业收入</w:t>
      </w:r>
      <w:r>
        <w:rPr>
          <w:color w:val="auto"/>
          <w:kern w:val="0"/>
          <w:sz w:val="24"/>
          <w:szCs w:val="21"/>
        </w:rPr>
        <w:t>100</w:t>
      </w:r>
      <w:r>
        <w:rPr>
          <w:rFonts w:hint="eastAsia"/>
          <w:color w:val="auto"/>
          <w:kern w:val="0"/>
          <w:sz w:val="24"/>
          <w:szCs w:val="21"/>
        </w:rPr>
        <w:t>万元以下的为微型企业。</w:t>
      </w:r>
    </w:p>
    <w:p w14:paraId="6D348853">
      <w:pPr>
        <w:spacing w:line="380" w:lineRule="exact"/>
        <w:rPr>
          <w:color w:val="auto"/>
          <w:kern w:val="0"/>
          <w:sz w:val="24"/>
          <w:szCs w:val="21"/>
        </w:rPr>
      </w:pPr>
      <w:r>
        <w:rPr>
          <w:rFonts w:hint="eastAsia"/>
          <w:color w:val="auto"/>
          <w:kern w:val="0"/>
          <w:sz w:val="24"/>
          <w:szCs w:val="21"/>
        </w:rPr>
        <w:t>　　（八）邮政业。从业人员</w:t>
      </w:r>
      <w:r>
        <w:rPr>
          <w:color w:val="auto"/>
          <w:kern w:val="0"/>
          <w:sz w:val="24"/>
          <w:szCs w:val="21"/>
        </w:rPr>
        <w:t>1000</w:t>
      </w:r>
      <w:r>
        <w:rPr>
          <w:rFonts w:hint="eastAsia"/>
          <w:color w:val="auto"/>
          <w:kern w:val="0"/>
          <w:sz w:val="24"/>
          <w:szCs w:val="21"/>
        </w:rPr>
        <w:t>人以下或营业收入</w:t>
      </w:r>
      <w:r>
        <w:rPr>
          <w:color w:val="auto"/>
          <w:kern w:val="0"/>
          <w:sz w:val="24"/>
          <w:szCs w:val="21"/>
        </w:rPr>
        <w:t>30000</w:t>
      </w:r>
      <w:r>
        <w:rPr>
          <w:rFonts w:hint="eastAsia"/>
          <w:color w:val="auto"/>
          <w:kern w:val="0"/>
          <w:sz w:val="24"/>
          <w:szCs w:val="21"/>
        </w:rPr>
        <w:t>万元以下的为中小微型企业。其中，从业人员</w:t>
      </w:r>
      <w:r>
        <w:rPr>
          <w:color w:val="auto"/>
          <w:kern w:val="0"/>
          <w:sz w:val="24"/>
          <w:szCs w:val="21"/>
        </w:rPr>
        <w:t>300</w:t>
      </w:r>
      <w:r>
        <w:rPr>
          <w:rFonts w:hint="eastAsia"/>
          <w:color w:val="auto"/>
          <w:kern w:val="0"/>
          <w:sz w:val="24"/>
          <w:szCs w:val="21"/>
        </w:rPr>
        <w:t>人及以上，且营业收入</w:t>
      </w:r>
      <w:r>
        <w:rPr>
          <w:color w:val="auto"/>
          <w:kern w:val="0"/>
          <w:sz w:val="24"/>
          <w:szCs w:val="21"/>
        </w:rPr>
        <w:t>2000</w:t>
      </w:r>
      <w:r>
        <w:rPr>
          <w:rFonts w:hint="eastAsia"/>
          <w:color w:val="auto"/>
          <w:kern w:val="0"/>
          <w:sz w:val="24"/>
          <w:szCs w:val="21"/>
        </w:rPr>
        <w:t>万元及以上的为中型企业；从业人员</w:t>
      </w:r>
      <w:r>
        <w:rPr>
          <w:color w:val="auto"/>
          <w:kern w:val="0"/>
          <w:sz w:val="24"/>
          <w:szCs w:val="21"/>
        </w:rPr>
        <w:t>20</w:t>
      </w:r>
      <w:r>
        <w:rPr>
          <w:rFonts w:hint="eastAsia"/>
          <w:color w:val="auto"/>
          <w:kern w:val="0"/>
          <w:sz w:val="24"/>
          <w:szCs w:val="21"/>
        </w:rPr>
        <w:t>人及以上，且营业收入</w:t>
      </w:r>
      <w:r>
        <w:rPr>
          <w:color w:val="auto"/>
          <w:kern w:val="0"/>
          <w:sz w:val="24"/>
          <w:szCs w:val="21"/>
        </w:rPr>
        <w:t>100</w:t>
      </w:r>
      <w:r>
        <w:rPr>
          <w:rFonts w:hint="eastAsia"/>
          <w:color w:val="auto"/>
          <w:kern w:val="0"/>
          <w:sz w:val="24"/>
          <w:szCs w:val="21"/>
        </w:rPr>
        <w:t>万元及以上的为小型企业；从业人员</w:t>
      </w:r>
      <w:r>
        <w:rPr>
          <w:color w:val="auto"/>
          <w:kern w:val="0"/>
          <w:sz w:val="24"/>
          <w:szCs w:val="21"/>
        </w:rPr>
        <w:t>20</w:t>
      </w:r>
      <w:r>
        <w:rPr>
          <w:rFonts w:hint="eastAsia"/>
          <w:color w:val="auto"/>
          <w:kern w:val="0"/>
          <w:sz w:val="24"/>
          <w:szCs w:val="21"/>
        </w:rPr>
        <w:t>人以下或营业收入</w:t>
      </w:r>
      <w:r>
        <w:rPr>
          <w:color w:val="auto"/>
          <w:kern w:val="0"/>
          <w:sz w:val="24"/>
          <w:szCs w:val="21"/>
        </w:rPr>
        <w:t>100</w:t>
      </w:r>
      <w:r>
        <w:rPr>
          <w:rFonts w:hint="eastAsia"/>
          <w:color w:val="auto"/>
          <w:kern w:val="0"/>
          <w:sz w:val="24"/>
          <w:szCs w:val="21"/>
        </w:rPr>
        <w:t>万元以下的为微型企业。</w:t>
      </w:r>
    </w:p>
    <w:p w14:paraId="1223CF2F">
      <w:pPr>
        <w:spacing w:line="380" w:lineRule="exact"/>
        <w:rPr>
          <w:color w:val="auto"/>
          <w:kern w:val="0"/>
          <w:sz w:val="24"/>
          <w:szCs w:val="21"/>
        </w:rPr>
      </w:pPr>
      <w:r>
        <w:rPr>
          <w:rFonts w:hint="eastAsia"/>
          <w:color w:val="auto"/>
          <w:kern w:val="0"/>
          <w:sz w:val="24"/>
          <w:szCs w:val="21"/>
        </w:rPr>
        <w:t>　　（九）住宿业。从业人员</w:t>
      </w:r>
      <w:r>
        <w:rPr>
          <w:color w:val="auto"/>
          <w:kern w:val="0"/>
          <w:sz w:val="24"/>
          <w:szCs w:val="21"/>
        </w:rPr>
        <w:t>300</w:t>
      </w:r>
      <w:r>
        <w:rPr>
          <w:rFonts w:hint="eastAsia"/>
          <w:color w:val="auto"/>
          <w:kern w:val="0"/>
          <w:sz w:val="24"/>
          <w:szCs w:val="21"/>
        </w:rPr>
        <w:t>人以下或营业收入</w:t>
      </w:r>
      <w:r>
        <w:rPr>
          <w:color w:val="auto"/>
          <w:kern w:val="0"/>
          <w:sz w:val="24"/>
          <w:szCs w:val="21"/>
        </w:rPr>
        <w:t>10000</w:t>
      </w:r>
      <w:r>
        <w:rPr>
          <w:rFonts w:hint="eastAsia"/>
          <w:color w:val="auto"/>
          <w:kern w:val="0"/>
          <w:sz w:val="24"/>
          <w:szCs w:val="21"/>
        </w:rPr>
        <w:t>万元以下的为中小微型企业。其中，从业人员</w:t>
      </w:r>
      <w:r>
        <w:rPr>
          <w:color w:val="auto"/>
          <w:kern w:val="0"/>
          <w:sz w:val="24"/>
          <w:szCs w:val="21"/>
        </w:rPr>
        <w:t>100</w:t>
      </w:r>
      <w:r>
        <w:rPr>
          <w:rFonts w:hint="eastAsia"/>
          <w:color w:val="auto"/>
          <w:kern w:val="0"/>
          <w:sz w:val="24"/>
          <w:szCs w:val="21"/>
        </w:rPr>
        <w:t>人及以上，且营业收入</w:t>
      </w:r>
      <w:r>
        <w:rPr>
          <w:color w:val="auto"/>
          <w:kern w:val="0"/>
          <w:sz w:val="24"/>
          <w:szCs w:val="21"/>
        </w:rPr>
        <w:t>2000</w:t>
      </w:r>
      <w:r>
        <w:rPr>
          <w:rFonts w:hint="eastAsia"/>
          <w:color w:val="auto"/>
          <w:kern w:val="0"/>
          <w:sz w:val="24"/>
          <w:szCs w:val="21"/>
        </w:rPr>
        <w:t>万元及以上的为中型企业；从业人员</w:t>
      </w:r>
      <w:r>
        <w:rPr>
          <w:color w:val="auto"/>
          <w:kern w:val="0"/>
          <w:sz w:val="24"/>
          <w:szCs w:val="21"/>
        </w:rPr>
        <w:t>10</w:t>
      </w:r>
      <w:r>
        <w:rPr>
          <w:rFonts w:hint="eastAsia"/>
          <w:color w:val="auto"/>
          <w:kern w:val="0"/>
          <w:sz w:val="24"/>
          <w:szCs w:val="21"/>
        </w:rPr>
        <w:t>人及以上，且营业收入</w:t>
      </w:r>
      <w:r>
        <w:rPr>
          <w:color w:val="auto"/>
          <w:kern w:val="0"/>
          <w:sz w:val="24"/>
          <w:szCs w:val="21"/>
        </w:rPr>
        <w:t>100</w:t>
      </w:r>
      <w:r>
        <w:rPr>
          <w:rFonts w:hint="eastAsia"/>
          <w:color w:val="auto"/>
          <w:kern w:val="0"/>
          <w:sz w:val="24"/>
          <w:szCs w:val="21"/>
        </w:rPr>
        <w:t>万元及以上的为小型企业；从业人员</w:t>
      </w:r>
      <w:r>
        <w:rPr>
          <w:color w:val="auto"/>
          <w:kern w:val="0"/>
          <w:sz w:val="24"/>
          <w:szCs w:val="21"/>
        </w:rPr>
        <w:t>10</w:t>
      </w:r>
      <w:r>
        <w:rPr>
          <w:rFonts w:hint="eastAsia"/>
          <w:color w:val="auto"/>
          <w:kern w:val="0"/>
          <w:sz w:val="24"/>
          <w:szCs w:val="21"/>
        </w:rPr>
        <w:t>人以下或营业收入</w:t>
      </w:r>
      <w:r>
        <w:rPr>
          <w:color w:val="auto"/>
          <w:kern w:val="0"/>
          <w:sz w:val="24"/>
          <w:szCs w:val="21"/>
        </w:rPr>
        <w:t>100</w:t>
      </w:r>
      <w:r>
        <w:rPr>
          <w:rFonts w:hint="eastAsia"/>
          <w:color w:val="auto"/>
          <w:kern w:val="0"/>
          <w:sz w:val="24"/>
          <w:szCs w:val="21"/>
        </w:rPr>
        <w:t>万元以下的为微型企业。</w:t>
      </w:r>
    </w:p>
    <w:p w14:paraId="31484BA4">
      <w:pPr>
        <w:spacing w:line="380" w:lineRule="exact"/>
        <w:rPr>
          <w:color w:val="auto"/>
          <w:kern w:val="0"/>
          <w:sz w:val="24"/>
          <w:szCs w:val="21"/>
        </w:rPr>
      </w:pPr>
      <w:r>
        <w:rPr>
          <w:rFonts w:hint="eastAsia"/>
          <w:color w:val="auto"/>
          <w:kern w:val="0"/>
          <w:sz w:val="24"/>
          <w:szCs w:val="21"/>
        </w:rPr>
        <w:t>　　（十）餐饮业。从业人员</w:t>
      </w:r>
      <w:r>
        <w:rPr>
          <w:color w:val="auto"/>
          <w:kern w:val="0"/>
          <w:sz w:val="24"/>
          <w:szCs w:val="21"/>
        </w:rPr>
        <w:t>300</w:t>
      </w:r>
      <w:r>
        <w:rPr>
          <w:rFonts w:hint="eastAsia"/>
          <w:color w:val="auto"/>
          <w:kern w:val="0"/>
          <w:sz w:val="24"/>
          <w:szCs w:val="21"/>
        </w:rPr>
        <w:t>人以下或营业收入</w:t>
      </w:r>
      <w:r>
        <w:rPr>
          <w:color w:val="auto"/>
          <w:kern w:val="0"/>
          <w:sz w:val="24"/>
          <w:szCs w:val="21"/>
        </w:rPr>
        <w:t>10000</w:t>
      </w:r>
      <w:r>
        <w:rPr>
          <w:rFonts w:hint="eastAsia"/>
          <w:color w:val="auto"/>
          <w:kern w:val="0"/>
          <w:sz w:val="24"/>
          <w:szCs w:val="21"/>
        </w:rPr>
        <w:t>万元以下的为中小微型企业。其中，从业人员</w:t>
      </w:r>
      <w:r>
        <w:rPr>
          <w:color w:val="auto"/>
          <w:kern w:val="0"/>
          <w:sz w:val="24"/>
          <w:szCs w:val="21"/>
        </w:rPr>
        <w:t>100</w:t>
      </w:r>
      <w:r>
        <w:rPr>
          <w:rFonts w:hint="eastAsia"/>
          <w:color w:val="auto"/>
          <w:kern w:val="0"/>
          <w:sz w:val="24"/>
          <w:szCs w:val="21"/>
        </w:rPr>
        <w:t>人及以上，且营业收入</w:t>
      </w:r>
      <w:r>
        <w:rPr>
          <w:color w:val="auto"/>
          <w:kern w:val="0"/>
          <w:sz w:val="24"/>
          <w:szCs w:val="21"/>
        </w:rPr>
        <w:t>2000</w:t>
      </w:r>
      <w:r>
        <w:rPr>
          <w:rFonts w:hint="eastAsia"/>
          <w:color w:val="auto"/>
          <w:kern w:val="0"/>
          <w:sz w:val="24"/>
          <w:szCs w:val="21"/>
        </w:rPr>
        <w:t>万元及以上的为中型企业；从业人员</w:t>
      </w:r>
      <w:r>
        <w:rPr>
          <w:color w:val="auto"/>
          <w:kern w:val="0"/>
          <w:sz w:val="24"/>
          <w:szCs w:val="21"/>
        </w:rPr>
        <w:t>10</w:t>
      </w:r>
      <w:r>
        <w:rPr>
          <w:rFonts w:hint="eastAsia"/>
          <w:color w:val="auto"/>
          <w:kern w:val="0"/>
          <w:sz w:val="24"/>
          <w:szCs w:val="21"/>
        </w:rPr>
        <w:t>人及以上，且营业收入</w:t>
      </w:r>
      <w:r>
        <w:rPr>
          <w:color w:val="auto"/>
          <w:kern w:val="0"/>
          <w:sz w:val="24"/>
          <w:szCs w:val="21"/>
        </w:rPr>
        <w:t>100</w:t>
      </w:r>
      <w:r>
        <w:rPr>
          <w:rFonts w:hint="eastAsia"/>
          <w:color w:val="auto"/>
          <w:kern w:val="0"/>
          <w:sz w:val="24"/>
          <w:szCs w:val="21"/>
        </w:rPr>
        <w:t>万元及以上的为小型企业；从业人员</w:t>
      </w:r>
      <w:r>
        <w:rPr>
          <w:color w:val="auto"/>
          <w:kern w:val="0"/>
          <w:sz w:val="24"/>
          <w:szCs w:val="21"/>
        </w:rPr>
        <w:t>10</w:t>
      </w:r>
      <w:r>
        <w:rPr>
          <w:rFonts w:hint="eastAsia"/>
          <w:color w:val="auto"/>
          <w:kern w:val="0"/>
          <w:sz w:val="24"/>
          <w:szCs w:val="21"/>
        </w:rPr>
        <w:t>人以下或营业收入</w:t>
      </w:r>
      <w:r>
        <w:rPr>
          <w:color w:val="auto"/>
          <w:kern w:val="0"/>
          <w:sz w:val="24"/>
          <w:szCs w:val="21"/>
        </w:rPr>
        <w:t>100</w:t>
      </w:r>
      <w:r>
        <w:rPr>
          <w:rFonts w:hint="eastAsia"/>
          <w:color w:val="auto"/>
          <w:kern w:val="0"/>
          <w:sz w:val="24"/>
          <w:szCs w:val="21"/>
        </w:rPr>
        <w:t>万元以下的为微型企业。</w:t>
      </w:r>
    </w:p>
    <w:p w14:paraId="13BE1944">
      <w:pPr>
        <w:spacing w:line="380" w:lineRule="exact"/>
        <w:rPr>
          <w:color w:val="auto"/>
          <w:kern w:val="0"/>
          <w:sz w:val="24"/>
          <w:szCs w:val="21"/>
        </w:rPr>
      </w:pPr>
      <w:r>
        <w:rPr>
          <w:rFonts w:hint="eastAsia"/>
          <w:color w:val="auto"/>
          <w:kern w:val="0"/>
          <w:sz w:val="24"/>
          <w:szCs w:val="21"/>
        </w:rPr>
        <w:t>　　（十一）信息传输业。从业人员</w:t>
      </w:r>
      <w:r>
        <w:rPr>
          <w:color w:val="auto"/>
          <w:kern w:val="0"/>
          <w:sz w:val="24"/>
          <w:szCs w:val="21"/>
        </w:rPr>
        <w:t>2000</w:t>
      </w:r>
      <w:r>
        <w:rPr>
          <w:rFonts w:hint="eastAsia"/>
          <w:color w:val="auto"/>
          <w:kern w:val="0"/>
          <w:sz w:val="24"/>
          <w:szCs w:val="21"/>
        </w:rPr>
        <w:t>人以下或营业收入</w:t>
      </w:r>
      <w:r>
        <w:rPr>
          <w:color w:val="auto"/>
          <w:kern w:val="0"/>
          <w:sz w:val="24"/>
          <w:szCs w:val="21"/>
        </w:rPr>
        <w:t>100000</w:t>
      </w:r>
      <w:r>
        <w:rPr>
          <w:rFonts w:hint="eastAsia"/>
          <w:color w:val="auto"/>
          <w:kern w:val="0"/>
          <w:sz w:val="24"/>
          <w:szCs w:val="21"/>
        </w:rPr>
        <w:t>万元以下的为中小微型企业。其中，从业人员</w:t>
      </w:r>
      <w:r>
        <w:rPr>
          <w:color w:val="auto"/>
          <w:kern w:val="0"/>
          <w:sz w:val="24"/>
          <w:szCs w:val="21"/>
        </w:rPr>
        <w:t>100</w:t>
      </w:r>
      <w:r>
        <w:rPr>
          <w:rFonts w:hint="eastAsia"/>
          <w:color w:val="auto"/>
          <w:kern w:val="0"/>
          <w:sz w:val="24"/>
          <w:szCs w:val="21"/>
        </w:rPr>
        <w:t>人及以上，且营业收入</w:t>
      </w:r>
      <w:r>
        <w:rPr>
          <w:color w:val="auto"/>
          <w:kern w:val="0"/>
          <w:sz w:val="24"/>
          <w:szCs w:val="21"/>
        </w:rPr>
        <w:t>1000</w:t>
      </w:r>
      <w:r>
        <w:rPr>
          <w:rFonts w:hint="eastAsia"/>
          <w:color w:val="auto"/>
          <w:kern w:val="0"/>
          <w:sz w:val="24"/>
          <w:szCs w:val="21"/>
        </w:rPr>
        <w:t>万元及以上的为中型企业；从业人员</w:t>
      </w:r>
      <w:r>
        <w:rPr>
          <w:color w:val="auto"/>
          <w:kern w:val="0"/>
          <w:sz w:val="24"/>
          <w:szCs w:val="21"/>
        </w:rPr>
        <w:t>10</w:t>
      </w:r>
      <w:r>
        <w:rPr>
          <w:rFonts w:hint="eastAsia"/>
          <w:color w:val="auto"/>
          <w:kern w:val="0"/>
          <w:sz w:val="24"/>
          <w:szCs w:val="21"/>
        </w:rPr>
        <w:t>人及以上，且营业收入</w:t>
      </w:r>
      <w:r>
        <w:rPr>
          <w:color w:val="auto"/>
          <w:kern w:val="0"/>
          <w:sz w:val="24"/>
          <w:szCs w:val="21"/>
        </w:rPr>
        <w:t>100</w:t>
      </w:r>
      <w:r>
        <w:rPr>
          <w:rFonts w:hint="eastAsia"/>
          <w:color w:val="auto"/>
          <w:kern w:val="0"/>
          <w:sz w:val="24"/>
          <w:szCs w:val="21"/>
        </w:rPr>
        <w:t>万元及以上的为小型企业；从业人员</w:t>
      </w:r>
      <w:r>
        <w:rPr>
          <w:color w:val="auto"/>
          <w:kern w:val="0"/>
          <w:sz w:val="24"/>
          <w:szCs w:val="21"/>
        </w:rPr>
        <w:t>10</w:t>
      </w:r>
      <w:r>
        <w:rPr>
          <w:rFonts w:hint="eastAsia"/>
          <w:color w:val="auto"/>
          <w:kern w:val="0"/>
          <w:sz w:val="24"/>
          <w:szCs w:val="21"/>
        </w:rPr>
        <w:t>人以下或营业收入</w:t>
      </w:r>
      <w:r>
        <w:rPr>
          <w:color w:val="auto"/>
          <w:kern w:val="0"/>
          <w:sz w:val="24"/>
          <w:szCs w:val="21"/>
        </w:rPr>
        <w:t>100</w:t>
      </w:r>
      <w:r>
        <w:rPr>
          <w:rFonts w:hint="eastAsia"/>
          <w:color w:val="auto"/>
          <w:kern w:val="0"/>
          <w:sz w:val="24"/>
          <w:szCs w:val="21"/>
        </w:rPr>
        <w:t>万元以下的为微型企业。</w:t>
      </w:r>
    </w:p>
    <w:p w14:paraId="575FCDCB">
      <w:pPr>
        <w:spacing w:line="380" w:lineRule="exact"/>
        <w:rPr>
          <w:color w:val="auto"/>
          <w:kern w:val="0"/>
          <w:sz w:val="24"/>
          <w:szCs w:val="21"/>
        </w:rPr>
      </w:pPr>
      <w:r>
        <w:rPr>
          <w:rFonts w:hint="eastAsia"/>
          <w:color w:val="auto"/>
          <w:kern w:val="0"/>
          <w:sz w:val="24"/>
          <w:szCs w:val="21"/>
        </w:rPr>
        <w:t>　　（十二）软件和信息技术服务业。从业人员</w:t>
      </w:r>
      <w:r>
        <w:rPr>
          <w:color w:val="auto"/>
          <w:kern w:val="0"/>
          <w:sz w:val="24"/>
          <w:szCs w:val="21"/>
        </w:rPr>
        <w:t>300</w:t>
      </w:r>
      <w:r>
        <w:rPr>
          <w:rFonts w:hint="eastAsia"/>
          <w:color w:val="auto"/>
          <w:kern w:val="0"/>
          <w:sz w:val="24"/>
          <w:szCs w:val="21"/>
        </w:rPr>
        <w:t>人以下或营业收入</w:t>
      </w:r>
      <w:r>
        <w:rPr>
          <w:color w:val="auto"/>
          <w:kern w:val="0"/>
          <w:sz w:val="24"/>
          <w:szCs w:val="21"/>
        </w:rPr>
        <w:t>10000</w:t>
      </w:r>
      <w:r>
        <w:rPr>
          <w:rFonts w:hint="eastAsia"/>
          <w:color w:val="auto"/>
          <w:kern w:val="0"/>
          <w:sz w:val="24"/>
          <w:szCs w:val="21"/>
        </w:rPr>
        <w:t>万元以下的为中小微型企业。其中，从业人员</w:t>
      </w:r>
      <w:r>
        <w:rPr>
          <w:color w:val="auto"/>
          <w:kern w:val="0"/>
          <w:sz w:val="24"/>
          <w:szCs w:val="21"/>
        </w:rPr>
        <w:t>100</w:t>
      </w:r>
      <w:r>
        <w:rPr>
          <w:rFonts w:hint="eastAsia"/>
          <w:color w:val="auto"/>
          <w:kern w:val="0"/>
          <w:sz w:val="24"/>
          <w:szCs w:val="21"/>
        </w:rPr>
        <w:t>人及以上，且营业收入</w:t>
      </w:r>
      <w:r>
        <w:rPr>
          <w:color w:val="auto"/>
          <w:kern w:val="0"/>
          <w:sz w:val="24"/>
          <w:szCs w:val="21"/>
        </w:rPr>
        <w:t>1000</w:t>
      </w:r>
      <w:r>
        <w:rPr>
          <w:rFonts w:hint="eastAsia"/>
          <w:color w:val="auto"/>
          <w:kern w:val="0"/>
          <w:sz w:val="24"/>
          <w:szCs w:val="21"/>
        </w:rPr>
        <w:t>万元及以上的为中型企业；从业人员</w:t>
      </w:r>
      <w:r>
        <w:rPr>
          <w:color w:val="auto"/>
          <w:kern w:val="0"/>
          <w:sz w:val="24"/>
          <w:szCs w:val="21"/>
        </w:rPr>
        <w:t>10</w:t>
      </w:r>
      <w:r>
        <w:rPr>
          <w:rFonts w:hint="eastAsia"/>
          <w:color w:val="auto"/>
          <w:kern w:val="0"/>
          <w:sz w:val="24"/>
          <w:szCs w:val="21"/>
        </w:rPr>
        <w:t>人及以上，且营业收入</w:t>
      </w:r>
      <w:r>
        <w:rPr>
          <w:color w:val="auto"/>
          <w:kern w:val="0"/>
          <w:sz w:val="24"/>
          <w:szCs w:val="21"/>
        </w:rPr>
        <w:t>50</w:t>
      </w:r>
      <w:r>
        <w:rPr>
          <w:rFonts w:hint="eastAsia"/>
          <w:color w:val="auto"/>
          <w:kern w:val="0"/>
          <w:sz w:val="24"/>
          <w:szCs w:val="21"/>
        </w:rPr>
        <w:t>万元及以上的为小型企业；从业人员</w:t>
      </w:r>
      <w:r>
        <w:rPr>
          <w:color w:val="auto"/>
          <w:kern w:val="0"/>
          <w:sz w:val="24"/>
          <w:szCs w:val="21"/>
        </w:rPr>
        <w:t>10</w:t>
      </w:r>
      <w:r>
        <w:rPr>
          <w:rFonts w:hint="eastAsia"/>
          <w:color w:val="auto"/>
          <w:kern w:val="0"/>
          <w:sz w:val="24"/>
          <w:szCs w:val="21"/>
        </w:rPr>
        <w:t>人以下或营业收入</w:t>
      </w:r>
      <w:r>
        <w:rPr>
          <w:color w:val="auto"/>
          <w:kern w:val="0"/>
          <w:sz w:val="24"/>
          <w:szCs w:val="21"/>
        </w:rPr>
        <w:t>50</w:t>
      </w:r>
      <w:r>
        <w:rPr>
          <w:rFonts w:hint="eastAsia"/>
          <w:color w:val="auto"/>
          <w:kern w:val="0"/>
          <w:sz w:val="24"/>
          <w:szCs w:val="21"/>
        </w:rPr>
        <w:t>万元以下的为微型企业。</w:t>
      </w:r>
    </w:p>
    <w:p w14:paraId="6199FEAC">
      <w:pPr>
        <w:spacing w:line="380" w:lineRule="exact"/>
        <w:rPr>
          <w:color w:val="auto"/>
          <w:kern w:val="0"/>
          <w:sz w:val="24"/>
          <w:szCs w:val="21"/>
        </w:rPr>
      </w:pPr>
      <w:r>
        <w:rPr>
          <w:rFonts w:hint="eastAsia"/>
          <w:color w:val="auto"/>
          <w:kern w:val="0"/>
          <w:sz w:val="24"/>
          <w:szCs w:val="21"/>
        </w:rPr>
        <w:t>　　（十三）房地产开发经营。营业收入</w:t>
      </w:r>
      <w:r>
        <w:rPr>
          <w:color w:val="auto"/>
          <w:kern w:val="0"/>
          <w:sz w:val="24"/>
          <w:szCs w:val="21"/>
        </w:rPr>
        <w:t>200000</w:t>
      </w:r>
      <w:r>
        <w:rPr>
          <w:rFonts w:hint="eastAsia"/>
          <w:color w:val="auto"/>
          <w:kern w:val="0"/>
          <w:sz w:val="24"/>
          <w:szCs w:val="21"/>
        </w:rPr>
        <w:t>万元以下或资产总额</w:t>
      </w:r>
      <w:r>
        <w:rPr>
          <w:color w:val="auto"/>
          <w:kern w:val="0"/>
          <w:sz w:val="24"/>
          <w:szCs w:val="21"/>
        </w:rPr>
        <w:t>10000</w:t>
      </w:r>
      <w:r>
        <w:rPr>
          <w:rFonts w:hint="eastAsia"/>
          <w:color w:val="auto"/>
          <w:kern w:val="0"/>
          <w:sz w:val="24"/>
          <w:szCs w:val="21"/>
        </w:rPr>
        <w:t>万元以下的为中小微型企业。其中，营业收入</w:t>
      </w:r>
      <w:r>
        <w:rPr>
          <w:color w:val="auto"/>
          <w:kern w:val="0"/>
          <w:sz w:val="24"/>
          <w:szCs w:val="21"/>
        </w:rPr>
        <w:t>1000</w:t>
      </w:r>
      <w:r>
        <w:rPr>
          <w:rFonts w:hint="eastAsia"/>
          <w:color w:val="auto"/>
          <w:kern w:val="0"/>
          <w:sz w:val="24"/>
          <w:szCs w:val="21"/>
        </w:rPr>
        <w:t>万元及以上，且资产总额</w:t>
      </w:r>
      <w:r>
        <w:rPr>
          <w:color w:val="auto"/>
          <w:kern w:val="0"/>
          <w:sz w:val="24"/>
          <w:szCs w:val="21"/>
        </w:rPr>
        <w:t>5000</w:t>
      </w:r>
      <w:r>
        <w:rPr>
          <w:rFonts w:hint="eastAsia"/>
          <w:color w:val="auto"/>
          <w:kern w:val="0"/>
          <w:sz w:val="24"/>
          <w:szCs w:val="21"/>
        </w:rPr>
        <w:t>万元及以上的为中型企业；营业收入</w:t>
      </w:r>
      <w:r>
        <w:rPr>
          <w:color w:val="auto"/>
          <w:kern w:val="0"/>
          <w:sz w:val="24"/>
          <w:szCs w:val="21"/>
        </w:rPr>
        <w:t>100</w:t>
      </w:r>
      <w:r>
        <w:rPr>
          <w:rFonts w:hint="eastAsia"/>
          <w:color w:val="auto"/>
          <w:kern w:val="0"/>
          <w:sz w:val="24"/>
          <w:szCs w:val="21"/>
        </w:rPr>
        <w:t>万元及以上，且资产总额</w:t>
      </w:r>
      <w:r>
        <w:rPr>
          <w:color w:val="auto"/>
          <w:kern w:val="0"/>
          <w:sz w:val="24"/>
          <w:szCs w:val="21"/>
        </w:rPr>
        <w:t>2000</w:t>
      </w:r>
      <w:r>
        <w:rPr>
          <w:rFonts w:hint="eastAsia"/>
          <w:color w:val="auto"/>
          <w:kern w:val="0"/>
          <w:sz w:val="24"/>
          <w:szCs w:val="21"/>
        </w:rPr>
        <w:t>万元及以上的为小型企业；营业收入</w:t>
      </w:r>
      <w:r>
        <w:rPr>
          <w:color w:val="auto"/>
          <w:kern w:val="0"/>
          <w:sz w:val="24"/>
          <w:szCs w:val="21"/>
        </w:rPr>
        <w:t>100</w:t>
      </w:r>
      <w:r>
        <w:rPr>
          <w:rFonts w:hint="eastAsia"/>
          <w:color w:val="auto"/>
          <w:kern w:val="0"/>
          <w:sz w:val="24"/>
          <w:szCs w:val="21"/>
        </w:rPr>
        <w:t>万元以下或资产总额</w:t>
      </w:r>
      <w:r>
        <w:rPr>
          <w:color w:val="auto"/>
          <w:kern w:val="0"/>
          <w:sz w:val="24"/>
          <w:szCs w:val="21"/>
        </w:rPr>
        <w:t>2000</w:t>
      </w:r>
      <w:r>
        <w:rPr>
          <w:rFonts w:hint="eastAsia"/>
          <w:color w:val="auto"/>
          <w:kern w:val="0"/>
          <w:sz w:val="24"/>
          <w:szCs w:val="21"/>
        </w:rPr>
        <w:t>万元以下的为微型企业。</w:t>
      </w:r>
    </w:p>
    <w:p w14:paraId="0B485E2E">
      <w:pPr>
        <w:spacing w:line="380" w:lineRule="exact"/>
        <w:rPr>
          <w:color w:val="auto"/>
          <w:kern w:val="0"/>
          <w:sz w:val="24"/>
          <w:szCs w:val="21"/>
        </w:rPr>
      </w:pPr>
      <w:r>
        <w:rPr>
          <w:rFonts w:hint="eastAsia"/>
          <w:color w:val="auto"/>
          <w:kern w:val="0"/>
          <w:sz w:val="24"/>
          <w:szCs w:val="21"/>
        </w:rPr>
        <w:t>　　（十四）物业管理。从业人员</w:t>
      </w:r>
      <w:r>
        <w:rPr>
          <w:color w:val="auto"/>
          <w:kern w:val="0"/>
          <w:sz w:val="24"/>
          <w:szCs w:val="21"/>
        </w:rPr>
        <w:t>1000</w:t>
      </w:r>
      <w:r>
        <w:rPr>
          <w:rFonts w:hint="eastAsia"/>
          <w:color w:val="auto"/>
          <w:kern w:val="0"/>
          <w:sz w:val="24"/>
          <w:szCs w:val="21"/>
        </w:rPr>
        <w:t>人以下或营业收入</w:t>
      </w:r>
      <w:r>
        <w:rPr>
          <w:color w:val="auto"/>
          <w:kern w:val="0"/>
          <w:sz w:val="24"/>
          <w:szCs w:val="21"/>
        </w:rPr>
        <w:t>5000</w:t>
      </w:r>
      <w:r>
        <w:rPr>
          <w:rFonts w:hint="eastAsia"/>
          <w:color w:val="auto"/>
          <w:kern w:val="0"/>
          <w:sz w:val="24"/>
          <w:szCs w:val="21"/>
        </w:rPr>
        <w:t>万元以下的为中小微型企业。其中，从业人员</w:t>
      </w:r>
      <w:r>
        <w:rPr>
          <w:color w:val="auto"/>
          <w:kern w:val="0"/>
          <w:sz w:val="24"/>
          <w:szCs w:val="21"/>
        </w:rPr>
        <w:t>300</w:t>
      </w:r>
      <w:r>
        <w:rPr>
          <w:rFonts w:hint="eastAsia"/>
          <w:color w:val="auto"/>
          <w:kern w:val="0"/>
          <w:sz w:val="24"/>
          <w:szCs w:val="21"/>
        </w:rPr>
        <w:t>人及以上，且营业收入</w:t>
      </w:r>
      <w:r>
        <w:rPr>
          <w:color w:val="auto"/>
          <w:kern w:val="0"/>
          <w:sz w:val="24"/>
          <w:szCs w:val="21"/>
        </w:rPr>
        <w:t>1000</w:t>
      </w:r>
      <w:r>
        <w:rPr>
          <w:rFonts w:hint="eastAsia"/>
          <w:color w:val="auto"/>
          <w:kern w:val="0"/>
          <w:sz w:val="24"/>
          <w:szCs w:val="21"/>
        </w:rPr>
        <w:t>万元及以上的为中型企业；从业人员</w:t>
      </w:r>
      <w:r>
        <w:rPr>
          <w:color w:val="auto"/>
          <w:kern w:val="0"/>
          <w:sz w:val="24"/>
          <w:szCs w:val="21"/>
        </w:rPr>
        <w:t>100</w:t>
      </w:r>
      <w:r>
        <w:rPr>
          <w:rFonts w:hint="eastAsia"/>
          <w:color w:val="auto"/>
          <w:kern w:val="0"/>
          <w:sz w:val="24"/>
          <w:szCs w:val="21"/>
        </w:rPr>
        <w:t>人及以上，且营业收入</w:t>
      </w:r>
      <w:r>
        <w:rPr>
          <w:color w:val="auto"/>
          <w:kern w:val="0"/>
          <w:sz w:val="24"/>
          <w:szCs w:val="21"/>
        </w:rPr>
        <w:t>500</w:t>
      </w:r>
      <w:r>
        <w:rPr>
          <w:rFonts w:hint="eastAsia"/>
          <w:color w:val="auto"/>
          <w:kern w:val="0"/>
          <w:sz w:val="24"/>
          <w:szCs w:val="21"/>
        </w:rPr>
        <w:t>万元及以上的为小型企业；从业人员</w:t>
      </w:r>
      <w:r>
        <w:rPr>
          <w:color w:val="auto"/>
          <w:kern w:val="0"/>
          <w:sz w:val="24"/>
          <w:szCs w:val="21"/>
        </w:rPr>
        <w:t>100</w:t>
      </w:r>
      <w:r>
        <w:rPr>
          <w:rFonts w:hint="eastAsia"/>
          <w:color w:val="auto"/>
          <w:kern w:val="0"/>
          <w:sz w:val="24"/>
          <w:szCs w:val="21"/>
        </w:rPr>
        <w:t>人以下或营业收入</w:t>
      </w:r>
      <w:r>
        <w:rPr>
          <w:color w:val="auto"/>
          <w:kern w:val="0"/>
          <w:sz w:val="24"/>
          <w:szCs w:val="21"/>
        </w:rPr>
        <w:t>500</w:t>
      </w:r>
      <w:r>
        <w:rPr>
          <w:rFonts w:hint="eastAsia"/>
          <w:color w:val="auto"/>
          <w:kern w:val="0"/>
          <w:sz w:val="24"/>
          <w:szCs w:val="21"/>
        </w:rPr>
        <w:t>万元以下的为微型企业。</w:t>
      </w:r>
    </w:p>
    <w:p w14:paraId="4ACB731E">
      <w:pPr>
        <w:spacing w:line="380" w:lineRule="exact"/>
        <w:rPr>
          <w:color w:val="auto"/>
          <w:kern w:val="0"/>
          <w:sz w:val="24"/>
          <w:szCs w:val="21"/>
        </w:rPr>
      </w:pPr>
      <w:r>
        <w:rPr>
          <w:rFonts w:hint="eastAsia"/>
          <w:color w:val="auto"/>
          <w:kern w:val="0"/>
          <w:sz w:val="24"/>
          <w:szCs w:val="21"/>
        </w:rPr>
        <w:t>　　（十五）租赁和商务服务业。从业人员</w:t>
      </w:r>
      <w:r>
        <w:rPr>
          <w:color w:val="auto"/>
          <w:kern w:val="0"/>
          <w:sz w:val="24"/>
          <w:szCs w:val="21"/>
        </w:rPr>
        <w:t>300</w:t>
      </w:r>
      <w:r>
        <w:rPr>
          <w:rFonts w:hint="eastAsia"/>
          <w:color w:val="auto"/>
          <w:kern w:val="0"/>
          <w:sz w:val="24"/>
          <w:szCs w:val="21"/>
        </w:rPr>
        <w:t>人以下或资产总额</w:t>
      </w:r>
      <w:r>
        <w:rPr>
          <w:color w:val="auto"/>
          <w:kern w:val="0"/>
          <w:sz w:val="24"/>
          <w:szCs w:val="21"/>
        </w:rPr>
        <w:t>120000</w:t>
      </w:r>
      <w:r>
        <w:rPr>
          <w:rFonts w:hint="eastAsia"/>
          <w:color w:val="auto"/>
          <w:kern w:val="0"/>
          <w:sz w:val="24"/>
          <w:szCs w:val="21"/>
        </w:rPr>
        <w:t>万元以下的为中小微型企业。其中，从业人员</w:t>
      </w:r>
      <w:r>
        <w:rPr>
          <w:color w:val="auto"/>
          <w:kern w:val="0"/>
          <w:sz w:val="24"/>
          <w:szCs w:val="21"/>
        </w:rPr>
        <w:t>100</w:t>
      </w:r>
      <w:r>
        <w:rPr>
          <w:rFonts w:hint="eastAsia"/>
          <w:color w:val="auto"/>
          <w:kern w:val="0"/>
          <w:sz w:val="24"/>
          <w:szCs w:val="21"/>
        </w:rPr>
        <w:t>人及以上，且资产总额</w:t>
      </w:r>
      <w:r>
        <w:rPr>
          <w:color w:val="auto"/>
          <w:kern w:val="0"/>
          <w:sz w:val="24"/>
          <w:szCs w:val="21"/>
        </w:rPr>
        <w:t>8000</w:t>
      </w:r>
      <w:r>
        <w:rPr>
          <w:rFonts w:hint="eastAsia"/>
          <w:color w:val="auto"/>
          <w:kern w:val="0"/>
          <w:sz w:val="24"/>
          <w:szCs w:val="21"/>
        </w:rPr>
        <w:t>万元及以上的为中型企业；从业人员</w:t>
      </w:r>
      <w:r>
        <w:rPr>
          <w:color w:val="auto"/>
          <w:kern w:val="0"/>
          <w:sz w:val="24"/>
          <w:szCs w:val="21"/>
        </w:rPr>
        <w:t>10</w:t>
      </w:r>
      <w:r>
        <w:rPr>
          <w:rFonts w:hint="eastAsia"/>
          <w:color w:val="auto"/>
          <w:kern w:val="0"/>
          <w:sz w:val="24"/>
          <w:szCs w:val="21"/>
        </w:rPr>
        <w:t>人及以上，且资产总额</w:t>
      </w:r>
      <w:r>
        <w:rPr>
          <w:color w:val="auto"/>
          <w:kern w:val="0"/>
          <w:sz w:val="24"/>
          <w:szCs w:val="21"/>
        </w:rPr>
        <w:t>100</w:t>
      </w:r>
      <w:r>
        <w:rPr>
          <w:rFonts w:hint="eastAsia"/>
          <w:color w:val="auto"/>
          <w:kern w:val="0"/>
          <w:sz w:val="24"/>
          <w:szCs w:val="21"/>
        </w:rPr>
        <w:t>万元及以上的为小型企业；从业人员</w:t>
      </w:r>
      <w:r>
        <w:rPr>
          <w:color w:val="auto"/>
          <w:kern w:val="0"/>
          <w:sz w:val="24"/>
          <w:szCs w:val="21"/>
        </w:rPr>
        <w:t>10</w:t>
      </w:r>
      <w:r>
        <w:rPr>
          <w:rFonts w:hint="eastAsia"/>
          <w:color w:val="auto"/>
          <w:kern w:val="0"/>
          <w:sz w:val="24"/>
          <w:szCs w:val="21"/>
        </w:rPr>
        <w:t>人以下或资产总额</w:t>
      </w:r>
      <w:r>
        <w:rPr>
          <w:color w:val="auto"/>
          <w:kern w:val="0"/>
          <w:sz w:val="24"/>
          <w:szCs w:val="21"/>
        </w:rPr>
        <w:t>100</w:t>
      </w:r>
      <w:r>
        <w:rPr>
          <w:rFonts w:hint="eastAsia"/>
          <w:color w:val="auto"/>
          <w:kern w:val="0"/>
          <w:sz w:val="24"/>
          <w:szCs w:val="21"/>
        </w:rPr>
        <w:t>万元以下的为微型企业。</w:t>
      </w:r>
    </w:p>
    <w:p w14:paraId="493F1561">
      <w:pPr>
        <w:spacing w:line="380" w:lineRule="exact"/>
        <w:rPr>
          <w:color w:val="auto"/>
          <w:kern w:val="0"/>
          <w:sz w:val="24"/>
          <w:szCs w:val="21"/>
        </w:rPr>
      </w:pPr>
      <w:r>
        <w:rPr>
          <w:rFonts w:hint="eastAsia"/>
          <w:color w:val="auto"/>
          <w:kern w:val="0"/>
          <w:sz w:val="24"/>
          <w:szCs w:val="21"/>
        </w:rPr>
        <w:t>　　（十六）其他未列明行业。从业人员</w:t>
      </w:r>
      <w:r>
        <w:rPr>
          <w:color w:val="auto"/>
          <w:kern w:val="0"/>
          <w:sz w:val="24"/>
          <w:szCs w:val="21"/>
        </w:rPr>
        <w:t>300</w:t>
      </w:r>
      <w:r>
        <w:rPr>
          <w:rFonts w:hint="eastAsia"/>
          <w:color w:val="auto"/>
          <w:kern w:val="0"/>
          <w:sz w:val="24"/>
          <w:szCs w:val="21"/>
        </w:rPr>
        <w:t>人以下的为中小微型企业。其中，从业人员</w:t>
      </w:r>
      <w:r>
        <w:rPr>
          <w:color w:val="auto"/>
          <w:kern w:val="0"/>
          <w:sz w:val="24"/>
          <w:szCs w:val="21"/>
        </w:rPr>
        <w:t>100</w:t>
      </w:r>
      <w:r>
        <w:rPr>
          <w:rFonts w:hint="eastAsia"/>
          <w:color w:val="auto"/>
          <w:kern w:val="0"/>
          <w:sz w:val="24"/>
          <w:szCs w:val="21"/>
        </w:rPr>
        <w:t>人及以上的为中型企业；从业人员</w:t>
      </w:r>
      <w:r>
        <w:rPr>
          <w:color w:val="auto"/>
          <w:kern w:val="0"/>
          <w:sz w:val="24"/>
          <w:szCs w:val="21"/>
        </w:rPr>
        <w:t>10</w:t>
      </w:r>
      <w:r>
        <w:rPr>
          <w:rFonts w:hint="eastAsia"/>
          <w:color w:val="auto"/>
          <w:kern w:val="0"/>
          <w:sz w:val="24"/>
          <w:szCs w:val="21"/>
        </w:rPr>
        <w:t>人及以上的为小型企业；从业人员</w:t>
      </w:r>
      <w:r>
        <w:rPr>
          <w:color w:val="auto"/>
          <w:kern w:val="0"/>
          <w:sz w:val="24"/>
          <w:szCs w:val="21"/>
        </w:rPr>
        <w:t>10</w:t>
      </w:r>
      <w:r>
        <w:rPr>
          <w:rFonts w:hint="eastAsia"/>
          <w:color w:val="auto"/>
          <w:kern w:val="0"/>
          <w:sz w:val="24"/>
          <w:szCs w:val="21"/>
        </w:rPr>
        <w:t>人以下的为微型企业。</w:t>
      </w:r>
    </w:p>
    <w:p w14:paraId="3E068CDD">
      <w:pPr>
        <w:spacing w:line="380" w:lineRule="exact"/>
        <w:rPr>
          <w:color w:val="auto"/>
          <w:kern w:val="0"/>
          <w:sz w:val="24"/>
          <w:szCs w:val="21"/>
        </w:rPr>
      </w:pPr>
      <w:r>
        <w:rPr>
          <w:rFonts w:hint="eastAsia"/>
          <w:color w:val="auto"/>
          <w:kern w:val="0"/>
          <w:sz w:val="24"/>
          <w:szCs w:val="21"/>
        </w:rPr>
        <w:t>　　五、企业类型的划分以统计部门的统计数据为依据。</w:t>
      </w:r>
    </w:p>
    <w:p w14:paraId="27DF1DB6">
      <w:pPr>
        <w:spacing w:line="380" w:lineRule="exact"/>
        <w:rPr>
          <w:color w:val="auto"/>
          <w:kern w:val="0"/>
          <w:sz w:val="24"/>
          <w:szCs w:val="21"/>
        </w:rPr>
      </w:pPr>
      <w:r>
        <w:rPr>
          <w:rFonts w:hint="eastAsia"/>
          <w:color w:val="auto"/>
          <w:kern w:val="0"/>
          <w:sz w:val="24"/>
          <w:szCs w:val="21"/>
        </w:rPr>
        <w:t>　　六、本规定适用于在中华人民共和国境内依法设立的各类所有制和各种组织形式的企业。个体工商户和本规定以外的行业，参照本规定进行划型。</w:t>
      </w:r>
    </w:p>
    <w:p w14:paraId="16E6D426">
      <w:pPr>
        <w:spacing w:line="380" w:lineRule="exact"/>
        <w:rPr>
          <w:color w:val="auto"/>
          <w:kern w:val="0"/>
          <w:sz w:val="24"/>
          <w:szCs w:val="21"/>
        </w:rPr>
      </w:pPr>
      <w:r>
        <w:rPr>
          <w:rFonts w:hint="eastAsia"/>
          <w:color w:val="auto"/>
          <w:kern w:val="0"/>
          <w:sz w:val="24"/>
          <w:szCs w:val="21"/>
        </w:rPr>
        <w:t>　　七、本规定的中型企业标准上限即为大型企业标准的下限，国家统计部门据此制定大中小微型企业的统计分类。国务院有关部门据此进行相关数据分析，不得制定与本规定不一致的企业划型标准。</w:t>
      </w:r>
    </w:p>
    <w:p w14:paraId="0A06D5B2">
      <w:pPr>
        <w:spacing w:line="380" w:lineRule="exact"/>
        <w:rPr>
          <w:color w:val="auto"/>
          <w:kern w:val="0"/>
          <w:sz w:val="24"/>
          <w:szCs w:val="21"/>
        </w:rPr>
      </w:pPr>
      <w:r>
        <w:rPr>
          <w:rFonts w:hint="eastAsia"/>
          <w:color w:val="auto"/>
          <w:kern w:val="0"/>
          <w:sz w:val="24"/>
          <w:szCs w:val="21"/>
        </w:rPr>
        <w:t>　　八、本规定由工业和信息化部、国家统计局会同有关部门根据《国民经济行业分类》修订情况和企业发展变化情况适时修订。</w:t>
      </w:r>
    </w:p>
    <w:p w14:paraId="6654D9B4">
      <w:pPr>
        <w:spacing w:line="380" w:lineRule="exact"/>
        <w:rPr>
          <w:color w:val="auto"/>
          <w:kern w:val="0"/>
          <w:sz w:val="24"/>
          <w:szCs w:val="21"/>
        </w:rPr>
      </w:pPr>
      <w:r>
        <w:rPr>
          <w:rFonts w:hint="eastAsia"/>
          <w:color w:val="auto"/>
          <w:kern w:val="0"/>
          <w:sz w:val="24"/>
          <w:szCs w:val="21"/>
        </w:rPr>
        <w:t>　　九、本规定由工业和信息化部、国家统计局会同有关部门负责解释。</w:t>
      </w:r>
    </w:p>
    <w:p w14:paraId="67E5BA01">
      <w:pPr>
        <w:spacing w:line="380" w:lineRule="exact"/>
        <w:ind w:firstLine="420"/>
        <w:rPr>
          <w:color w:val="auto"/>
          <w:kern w:val="0"/>
          <w:sz w:val="24"/>
          <w:szCs w:val="21"/>
        </w:rPr>
      </w:pPr>
      <w:r>
        <w:rPr>
          <w:rFonts w:hint="eastAsia"/>
          <w:color w:val="auto"/>
          <w:kern w:val="0"/>
          <w:sz w:val="24"/>
          <w:szCs w:val="21"/>
        </w:rPr>
        <w:t>十、本规定自发布之日起执行，原国家经贸委、原国家计委、财政部和国家统计局</w:t>
      </w:r>
      <w:r>
        <w:rPr>
          <w:color w:val="auto"/>
          <w:kern w:val="0"/>
          <w:sz w:val="24"/>
          <w:szCs w:val="21"/>
        </w:rPr>
        <w:t>2003</w:t>
      </w:r>
      <w:r>
        <w:rPr>
          <w:rFonts w:hint="eastAsia"/>
          <w:color w:val="auto"/>
          <w:kern w:val="0"/>
          <w:sz w:val="24"/>
          <w:szCs w:val="21"/>
        </w:rPr>
        <w:t>年颁布的《中小企业标准暂行规定》同时废止。</w:t>
      </w:r>
    </w:p>
    <w:p w14:paraId="1FF88246">
      <w:pPr>
        <w:snapToGrid w:val="0"/>
        <w:jc w:val="center"/>
        <w:rPr>
          <w:rFonts w:hint="eastAsia" w:ascii="仿宋_GB2312" w:eastAsia="仿宋_GB2312"/>
          <w:color w:val="auto"/>
          <w:sz w:val="30"/>
          <w:szCs w:val="30"/>
        </w:rPr>
      </w:pPr>
    </w:p>
    <w:p w14:paraId="30CA0613">
      <w:pPr>
        <w:spacing w:line="360" w:lineRule="auto"/>
        <w:ind w:firstLine="310" w:firstLineChars="147"/>
        <w:jc w:val="left"/>
        <w:rPr>
          <w:rFonts w:hint="eastAsia" w:ascii="宋体"/>
          <w:b/>
          <w:color w:val="auto"/>
          <w:szCs w:val="21"/>
        </w:rPr>
      </w:pPr>
    </w:p>
    <w:bookmarkEnd w:id="0"/>
    <w:bookmarkEnd w:id="1"/>
    <w:p w14:paraId="6F898CC3">
      <w:pPr>
        <w:snapToGrid w:val="0"/>
        <w:jc w:val="center"/>
        <w:rPr>
          <w:rFonts w:hint="eastAsia" w:ascii="宋体"/>
          <w:color w:val="auto"/>
          <w:sz w:val="30"/>
          <w:szCs w:val="30"/>
        </w:rPr>
      </w:pPr>
    </w:p>
    <w:p w14:paraId="6271394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新魏">
    <w:panose1 w:val="02010800040101010101"/>
    <w:charset w:val="86"/>
    <w:family w:val="auto"/>
    <w:pitch w:val="default"/>
    <w:sig w:usb0="00000001" w:usb1="080F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4373B6"/>
    <w:multiLevelType w:val="singleLevel"/>
    <w:tmpl w:val="D64373B6"/>
    <w:lvl w:ilvl="0" w:tentative="0">
      <w:start w:val="1"/>
      <w:numFmt w:val="decimal"/>
      <w:suff w:val="space"/>
      <w:lvlText w:val="%1."/>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EC5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val="0"/>
      <w:spacing w:before="260" w:after="260" w:line="415" w:lineRule="auto"/>
      <w:outlineLvl w:val="1"/>
    </w:pPr>
    <w:rPr>
      <w:rFonts w:ascii="Arial" w:hAnsi="Arial" w:eastAsia="黑体"/>
      <w:b/>
      <w:bCs/>
      <w:kern w:val="0"/>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2025-12-25T09:42:08Z</dcterms:created>
  <dc:creator>Administrator</dc:creator>
  <cp:lastModifiedBy>Mr.J</cp:lastModifiedBy>
  <dcterms:modified xsi:type="dcterms:W3CDTF">2025-12-25T09:42:21Z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eyJoZGlkIjoiYzMzYWU3Nzk3YjdmNDcwMDUyOTQ1ZjZkNWI0NjRlYzAiLCJ1c2VySWQiOiIyMzc3Njg4MTYifQ==</vt:lpwstr>
  </property>
  <property fmtid="{D5CDD505-2E9C-101B-9397-08002B2CF9AE}" pid="4" name="ICV">
    <vt:lpwstr>ED6CDA0424564AFF86F312D62875CAEC_12</vt:lpwstr>
  </property>
</Properties>
</file>