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F7A5C8">
      <w:pPr>
        <w:spacing w:before="312" w:after="156" w:line="600" w:lineRule="exact"/>
        <w:jc w:val="center"/>
        <w:rPr>
          <w:rFonts w:hint="eastAsia" w:ascii="宋体" w:hAnsi="宋体" w:eastAsia="宋体" w:cs="宋体"/>
          <w:color w:val="auto"/>
          <w:sz w:val="52"/>
          <w:szCs w:val="52"/>
          <w:highlight w:val="none"/>
        </w:rPr>
      </w:pPr>
    </w:p>
    <w:p w14:paraId="7399655D">
      <w:pPr>
        <w:spacing w:before="312" w:after="156" w:line="600" w:lineRule="exact"/>
        <w:jc w:val="both"/>
        <w:rPr>
          <w:rFonts w:hint="eastAsia" w:ascii="宋体" w:hAnsi="宋体" w:eastAsia="宋体" w:cs="宋体"/>
          <w:color w:val="auto"/>
          <w:sz w:val="52"/>
          <w:szCs w:val="52"/>
          <w:highlight w:val="none"/>
        </w:rPr>
      </w:pPr>
    </w:p>
    <w:p w14:paraId="50B3FF9E">
      <w:pPr>
        <w:keepNext/>
        <w:spacing w:line="360" w:lineRule="auto"/>
        <w:ind w:left="4337" w:hanging="4337"/>
        <w:jc w:val="center"/>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云之龙咨询集团有限公司</w:t>
      </w:r>
    </w:p>
    <w:p w14:paraId="149BE00D">
      <w:pPr>
        <w:spacing w:line="360" w:lineRule="auto"/>
        <w:jc w:val="center"/>
        <w:rPr>
          <w:rFonts w:hint="eastAsia" w:ascii="宋体" w:hAnsi="宋体" w:eastAsia="宋体" w:cs="宋体"/>
          <w:b/>
          <w:color w:val="auto"/>
          <w:sz w:val="44"/>
          <w:szCs w:val="44"/>
          <w:highlight w:val="none"/>
        </w:rPr>
      </w:pPr>
    </w:p>
    <w:p w14:paraId="27AF8E87">
      <w:pPr>
        <w:spacing w:line="360" w:lineRule="auto"/>
        <w:jc w:val="center"/>
        <w:rPr>
          <w:rFonts w:hint="eastAsia" w:ascii="宋体" w:hAnsi="宋体" w:eastAsia="宋体" w:cs="宋体"/>
          <w:b/>
          <w:color w:val="auto"/>
          <w:sz w:val="44"/>
          <w:szCs w:val="44"/>
          <w:highlight w:val="none"/>
        </w:rPr>
      </w:pPr>
    </w:p>
    <w:p w14:paraId="084A5CC1">
      <w:pPr>
        <w:spacing w:before="156" w:line="360" w:lineRule="auto"/>
        <w:jc w:val="center"/>
        <w:rPr>
          <w:rFonts w:hint="eastAsia" w:ascii="宋体" w:hAnsi="宋体" w:eastAsia="宋体" w:cs="宋体"/>
          <w:color w:val="auto"/>
          <w:sz w:val="120"/>
          <w:szCs w:val="120"/>
          <w:highlight w:val="none"/>
        </w:rPr>
      </w:pPr>
      <w:r>
        <w:rPr>
          <w:rFonts w:hint="eastAsia" w:ascii="宋体" w:hAnsi="宋体" w:eastAsia="宋体" w:cs="宋体"/>
          <w:color w:val="auto"/>
          <w:sz w:val="96"/>
          <w:szCs w:val="96"/>
          <w:highlight w:val="none"/>
        </w:rPr>
        <w:t>竞争性磋商文件</w:t>
      </w:r>
    </w:p>
    <w:p w14:paraId="17A1AB0A">
      <w:pPr>
        <w:spacing w:line="360" w:lineRule="auto"/>
        <w:rPr>
          <w:rFonts w:hint="eastAsia" w:ascii="宋体" w:hAnsi="宋体" w:eastAsia="宋体" w:cs="宋体"/>
          <w:color w:val="auto"/>
          <w:sz w:val="30"/>
          <w:szCs w:val="72"/>
          <w:highlight w:val="none"/>
        </w:rPr>
      </w:pPr>
    </w:p>
    <w:p w14:paraId="3BD8D759">
      <w:pPr>
        <w:keepNext/>
        <w:spacing w:line="360" w:lineRule="auto"/>
        <w:ind w:left="3243" w:hanging="1807"/>
        <w:jc w:val="left"/>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项目名称：</w:t>
      </w:r>
      <w:r>
        <w:rPr>
          <w:rFonts w:hint="eastAsia" w:ascii="宋体" w:hAnsi="宋体" w:cs="宋体"/>
          <w:b/>
          <w:bCs/>
          <w:color w:val="auto"/>
          <w:sz w:val="36"/>
          <w:szCs w:val="36"/>
          <w:highlight w:val="none"/>
          <w:lang w:eastAsia="zh-CN"/>
        </w:rPr>
        <w:t>校园可视化一键式报警系统网络接入服务</w:t>
      </w:r>
    </w:p>
    <w:p w14:paraId="17808B90">
      <w:pPr>
        <w:spacing w:line="360" w:lineRule="auto"/>
        <w:ind w:firstLine="1518"/>
        <w:rPr>
          <w:rFonts w:hint="eastAsia" w:ascii="宋体" w:hAnsi="宋体" w:eastAsia="宋体" w:cs="宋体"/>
          <w:color w:val="auto"/>
          <w:sz w:val="36"/>
          <w:szCs w:val="144"/>
          <w:highlight w:val="none"/>
          <w:lang w:eastAsia="zh-CN"/>
        </w:rPr>
      </w:pPr>
      <w:r>
        <w:rPr>
          <w:rFonts w:hint="eastAsia" w:ascii="宋体" w:hAnsi="宋体" w:eastAsia="宋体" w:cs="宋体"/>
          <w:b/>
          <w:bCs/>
          <w:color w:val="auto"/>
          <w:sz w:val="36"/>
          <w:szCs w:val="36"/>
          <w:highlight w:val="none"/>
        </w:rPr>
        <w:t>项目编号：</w:t>
      </w:r>
      <w:r>
        <w:rPr>
          <w:rFonts w:hint="eastAsia" w:ascii="宋体" w:hAnsi="宋体" w:cs="宋体"/>
          <w:b/>
          <w:bCs/>
          <w:color w:val="auto"/>
          <w:sz w:val="36"/>
          <w:szCs w:val="36"/>
          <w:highlight w:val="none"/>
          <w:lang w:eastAsia="zh-CN"/>
        </w:rPr>
        <w:t>YZLWZ2026-C3-071-TXQT</w:t>
      </w:r>
    </w:p>
    <w:p w14:paraId="7A7227BD">
      <w:pPr>
        <w:pStyle w:val="45"/>
        <w:spacing w:line="360" w:lineRule="auto"/>
        <w:ind w:firstLine="1518"/>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采 购 人：</w:t>
      </w:r>
      <w:r>
        <w:rPr>
          <w:rFonts w:hint="eastAsia" w:hAnsi="宋体" w:cs="宋体"/>
          <w:b/>
          <w:bCs/>
          <w:color w:val="auto"/>
          <w:sz w:val="36"/>
          <w:szCs w:val="36"/>
          <w:highlight w:val="none"/>
          <w:lang w:eastAsia="zh-CN"/>
        </w:rPr>
        <w:t>藤县龙之盾保安服务有限公司</w:t>
      </w:r>
    </w:p>
    <w:p w14:paraId="1AEE506D">
      <w:pPr>
        <w:pStyle w:val="45"/>
        <w:spacing w:line="360" w:lineRule="auto"/>
        <w:ind w:firstLine="1518"/>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采购代理机构：云之龙咨询集团有限公司</w:t>
      </w:r>
    </w:p>
    <w:p w14:paraId="22D5B2A3">
      <w:pPr>
        <w:pStyle w:val="45"/>
        <w:spacing w:line="360" w:lineRule="auto"/>
        <w:ind w:firstLine="1200"/>
        <w:rPr>
          <w:rFonts w:hint="eastAsia" w:ascii="宋体" w:hAnsi="宋体" w:eastAsia="宋体" w:cs="宋体"/>
          <w:b/>
          <w:bCs/>
          <w:color w:val="auto"/>
          <w:sz w:val="32"/>
          <w:szCs w:val="32"/>
          <w:highlight w:val="none"/>
        </w:rPr>
      </w:pPr>
    </w:p>
    <w:p w14:paraId="35B26D93">
      <w:pPr>
        <w:pStyle w:val="45"/>
        <w:spacing w:line="360" w:lineRule="auto"/>
        <w:ind w:firstLine="1200"/>
        <w:rPr>
          <w:rFonts w:hint="eastAsia" w:ascii="宋体" w:hAnsi="宋体" w:eastAsia="宋体" w:cs="宋体"/>
          <w:b/>
          <w:bCs/>
          <w:color w:val="auto"/>
          <w:sz w:val="32"/>
          <w:szCs w:val="32"/>
          <w:highlight w:val="none"/>
        </w:rPr>
      </w:pPr>
    </w:p>
    <w:p w14:paraId="050B7C29">
      <w:pPr>
        <w:pStyle w:val="45"/>
        <w:spacing w:line="360" w:lineRule="auto"/>
        <w:ind w:left="420" w:firstLine="897"/>
        <w:rPr>
          <w:rFonts w:hint="eastAsia" w:ascii="宋体" w:hAnsi="宋体" w:eastAsia="宋体" w:cs="宋体"/>
          <w:color w:val="auto"/>
          <w:sz w:val="21"/>
          <w:highlight w:val="none"/>
          <w:lang w:eastAsia="zh-CN"/>
        </w:rPr>
      </w:pPr>
      <w:r>
        <w:rPr>
          <w:rFonts w:hint="eastAsia" w:ascii="宋体" w:hAnsi="宋体" w:eastAsia="宋体" w:cs="宋体"/>
          <w:b/>
          <w:bCs/>
          <w:color w:val="auto"/>
          <w:sz w:val="32"/>
          <w:szCs w:val="32"/>
          <w:highlight w:val="none"/>
        </w:rPr>
        <w:t xml:space="preserve">               </w:t>
      </w:r>
      <w:r>
        <w:rPr>
          <w:rFonts w:hint="eastAsia" w:hAnsi="宋体" w:cs="宋体"/>
          <w:b/>
          <w:bCs/>
          <w:color w:val="auto"/>
          <w:sz w:val="36"/>
          <w:szCs w:val="36"/>
          <w:highlight w:val="none"/>
          <w:lang w:eastAsia="zh-CN"/>
        </w:rPr>
        <w:t>2026年</w:t>
      </w:r>
      <w:r>
        <w:rPr>
          <w:rFonts w:hint="eastAsia" w:hAnsi="宋体" w:cs="宋体"/>
          <w:b/>
          <w:bCs/>
          <w:color w:val="auto"/>
          <w:sz w:val="36"/>
          <w:szCs w:val="36"/>
          <w:highlight w:val="none"/>
          <w:lang w:val="en-US" w:eastAsia="zh-CN"/>
        </w:rPr>
        <w:t>7</w:t>
      </w:r>
      <w:r>
        <w:rPr>
          <w:rFonts w:hint="eastAsia" w:hAnsi="宋体" w:cs="宋体"/>
          <w:b/>
          <w:bCs/>
          <w:color w:val="auto"/>
          <w:sz w:val="36"/>
          <w:szCs w:val="36"/>
          <w:highlight w:val="none"/>
          <w:lang w:eastAsia="zh-CN"/>
        </w:rPr>
        <w:t>月</w:t>
      </w:r>
    </w:p>
    <w:p w14:paraId="6180DDDF">
      <w:pPr>
        <w:spacing w:line="360" w:lineRule="auto"/>
        <w:jc w:val="center"/>
        <w:rPr>
          <w:rFonts w:hint="eastAsia" w:ascii="宋体" w:hAnsi="宋体" w:eastAsia="宋体" w:cs="宋体"/>
          <w:b/>
          <w:bCs/>
          <w:color w:val="auto"/>
          <w:sz w:val="32"/>
          <w:szCs w:val="32"/>
          <w:highlight w:val="none"/>
        </w:rPr>
      </w:pPr>
    </w:p>
    <w:p w14:paraId="7D20EC64">
      <w:pPr>
        <w:spacing w:line="360" w:lineRule="auto"/>
        <w:jc w:val="center"/>
        <w:rPr>
          <w:rFonts w:hint="eastAsia" w:ascii="宋体" w:hAnsi="宋体" w:eastAsia="宋体" w:cs="宋体"/>
          <w:b/>
          <w:bCs/>
          <w:color w:val="auto"/>
          <w:sz w:val="32"/>
          <w:szCs w:val="32"/>
          <w:highlight w:val="none"/>
        </w:rPr>
      </w:pPr>
    </w:p>
    <w:p w14:paraId="0C7A3F65">
      <w:pPr>
        <w:spacing w:line="360" w:lineRule="auto"/>
        <w:jc w:val="center"/>
        <w:rPr>
          <w:rFonts w:hint="eastAsia" w:ascii="宋体" w:hAnsi="宋体" w:eastAsia="宋体" w:cs="宋体"/>
          <w:b/>
          <w:color w:val="auto"/>
          <w:sz w:val="44"/>
          <w:szCs w:val="44"/>
          <w:highlight w:val="none"/>
        </w:rPr>
      </w:pPr>
    </w:p>
    <w:p w14:paraId="0191FA37">
      <w:pPr>
        <w:spacing w:line="360" w:lineRule="auto"/>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目  录</w:t>
      </w:r>
    </w:p>
    <w:p w14:paraId="39DE2BA3">
      <w:pPr>
        <w:spacing w:line="400" w:lineRule="exact"/>
        <w:jc w:val="center"/>
        <w:rPr>
          <w:rFonts w:hint="eastAsia" w:ascii="宋体" w:hAnsi="宋体" w:eastAsia="宋体" w:cs="宋体"/>
          <w:b/>
          <w:color w:val="auto"/>
          <w:sz w:val="44"/>
          <w:szCs w:val="44"/>
          <w:highlight w:val="none"/>
        </w:rPr>
      </w:pPr>
    </w:p>
    <w:p w14:paraId="1C35C4C5">
      <w:pPr>
        <w:pStyle w:val="25"/>
        <w:tabs>
          <w:tab w:val="right" w:leader="dot" w:pos="8400"/>
        </w:tabs>
        <w:spacing w:line="360" w:lineRule="auto"/>
        <w:rPr>
          <w:b/>
          <w:bCs/>
          <w:color w:val="auto"/>
          <w:sz w:val="24"/>
          <w:szCs w:val="32"/>
          <w:highlight w:val="none"/>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TOC \o "1-3" \h \z \u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z w:val="24"/>
          <w:szCs w:val="32"/>
          <w:highlight w:val="none"/>
        </w:rPr>
        <w:fldChar w:fldCharType="begin"/>
      </w:r>
      <w:r>
        <w:rPr>
          <w:rFonts w:hint="eastAsia" w:ascii="宋体" w:hAnsi="宋体" w:eastAsia="宋体" w:cs="宋体"/>
          <w:b/>
          <w:bCs/>
          <w:color w:val="auto"/>
          <w:sz w:val="24"/>
          <w:szCs w:val="32"/>
          <w:highlight w:val="none"/>
        </w:rPr>
        <w:instrText xml:space="preserve"> HYPERLINK \l _Toc4696 </w:instrText>
      </w:r>
      <w:r>
        <w:rPr>
          <w:rFonts w:hint="eastAsia" w:ascii="宋体" w:hAnsi="宋体" w:eastAsia="宋体" w:cs="宋体"/>
          <w:b/>
          <w:bCs/>
          <w:color w:val="auto"/>
          <w:sz w:val="24"/>
          <w:szCs w:val="32"/>
          <w:highlight w:val="none"/>
        </w:rPr>
        <w:fldChar w:fldCharType="separate"/>
      </w:r>
      <w:r>
        <w:rPr>
          <w:rFonts w:hint="eastAsia" w:ascii="宋体" w:hAnsi="宋体" w:eastAsia="宋体" w:cs="宋体"/>
          <w:b/>
          <w:bCs/>
          <w:color w:val="auto"/>
          <w:sz w:val="24"/>
          <w:szCs w:val="32"/>
          <w:highlight w:val="none"/>
        </w:rPr>
        <w:t>第一章 竞争性磋商公告</w:t>
      </w:r>
      <w:r>
        <w:rPr>
          <w:b/>
          <w:bCs/>
          <w:color w:val="auto"/>
          <w:sz w:val="24"/>
          <w:szCs w:val="32"/>
          <w:highlight w:val="none"/>
        </w:rPr>
        <w:tab/>
      </w:r>
      <w:r>
        <w:rPr>
          <w:b/>
          <w:bCs/>
          <w:color w:val="auto"/>
          <w:sz w:val="24"/>
          <w:szCs w:val="32"/>
          <w:highlight w:val="none"/>
        </w:rPr>
        <w:fldChar w:fldCharType="begin"/>
      </w:r>
      <w:r>
        <w:rPr>
          <w:b/>
          <w:bCs/>
          <w:color w:val="auto"/>
          <w:sz w:val="24"/>
          <w:szCs w:val="32"/>
          <w:highlight w:val="none"/>
        </w:rPr>
        <w:instrText xml:space="preserve"> PAGEREF _Toc4696 \h </w:instrText>
      </w:r>
      <w:r>
        <w:rPr>
          <w:b/>
          <w:bCs/>
          <w:color w:val="auto"/>
          <w:sz w:val="24"/>
          <w:szCs w:val="32"/>
          <w:highlight w:val="none"/>
        </w:rPr>
        <w:fldChar w:fldCharType="separate"/>
      </w:r>
      <w:r>
        <w:rPr>
          <w:b/>
          <w:bCs/>
          <w:color w:val="auto"/>
          <w:sz w:val="24"/>
          <w:szCs w:val="32"/>
          <w:highlight w:val="none"/>
        </w:rPr>
        <w:t>3</w:t>
      </w:r>
      <w:r>
        <w:rPr>
          <w:b/>
          <w:bCs/>
          <w:color w:val="auto"/>
          <w:sz w:val="24"/>
          <w:szCs w:val="32"/>
          <w:highlight w:val="none"/>
        </w:rPr>
        <w:fldChar w:fldCharType="end"/>
      </w:r>
      <w:r>
        <w:rPr>
          <w:rFonts w:hint="eastAsia" w:ascii="宋体" w:hAnsi="宋体" w:eastAsia="宋体" w:cs="宋体"/>
          <w:b/>
          <w:bCs/>
          <w:color w:val="auto"/>
          <w:sz w:val="24"/>
          <w:szCs w:val="32"/>
          <w:highlight w:val="none"/>
        </w:rPr>
        <w:fldChar w:fldCharType="end"/>
      </w:r>
    </w:p>
    <w:p w14:paraId="4CC466B5">
      <w:pPr>
        <w:pStyle w:val="25"/>
        <w:tabs>
          <w:tab w:val="right" w:leader="dot" w:pos="8400"/>
        </w:tabs>
        <w:spacing w:line="360" w:lineRule="auto"/>
        <w:rPr>
          <w:b/>
          <w:bCs/>
          <w:color w:val="auto"/>
          <w:sz w:val="24"/>
          <w:szCs w:val="32"/>
          <w:highlight w:val="none"/>
        </w:rPr>
      </w:pPr>
      <w:r>
        <w:rPr>
          <w:rFonts w:hint="eastAsia" w:ascii="宋体" w:hAnsi="宋体" w:eastAsia="宋体" w:cs="宋体"/>
          <w:b/>
          <w:bCs/>
          <w:color w:val="auto"/>
          <w:sz w:val="24"/>
          <w:szCs w:val="32"/>
          <w:highlight w:val="none"/>
        </w:rPr>
        <w:fldChar w:fldCharType="begin"/>
      </w:r>
      <w:r>
        <w:rPr>
          <w:rFonts w:hint="eastAsia" w:ascii="宋体" w:hAnsi="宋体" w:eastAsia="宋体" w:cs="宋体"/>
          <w:b/>
          <w:bCs/>
          <w:color w:val="auto"/>
          <w:sz w:val="24"/>
          <w:szCs w:val="32"/>
          <w:highlight w:val="none"/>
        </w:rPr>
        <w:instrText xml:space="preserve"> HYPERLINK \l _Toc11954 </w:instrText>
      </w:r>
      <w:r>
        <w:rPr>
          <w:rFonts w:hint="eastAsia" w:ascii="宋体" w:hAnsi="宋体" w:eastAsia="宋体" w:cs="宋体"/>
          <w:b/>
          <w:bCs/>
          <w:color w:val="auto"/>
          <w:sz w:val="24"/>
          <w:szCs w:val="32"/>
          <w:highlight w:val="none"/>
        </w:rPr>
        <w:fldChar w:fldCharType="separate"/>
      </w:r>
      <w:r>
        <w:rPr>
          <w:rFonts w:hint="eastAsia"/>
          <w:b/>
          <w:bCs/>
          <w:color w:val="auto"/>
          <w:sz w:val="24"/>
          <w:szCs w:val="32"/>
          <w:highlight w:val="none"/>
        </w:rPr>
        <w:t>第二章 供应商须知</w:t>
      </w:r>
      <w:r>
        <w:rPr>
          <w:b/>
          <w:bCs/>
          <w:color w:val="auto"/>
          <w:sz w:val="24"/>
          <w:szCs w:val="32"/>
          <w:highlight w:val="none"/>
        </w:rPr>
        <w:tab/>
      </w:r>
      <w:r>
        <w:rPr>
          <w:b/>
          <w:bCs/>
          <w:color w:val="auto"/>
          <w:sz w:val="24"/>
          <w:szCs w:val="32"/>
          <w:highlight w:val="none"/>
        </w:rPr>
        <w:fldChar w:fldCharType="begin"/>
      </w:r>
      <w:r>
        <w:rPr>
          <w:b/>
          <w:bCs/>
          <w:color w:val="auto"/>
          <w:sz w:val="24"/>
          <w:szCs w:val="32"/>
          <w:highlight w:val="none"/>
        </w:rPr>
        <w:instrText xml:space="preserve"> PAGEREF _Toc11954 \h </w:instrText>
      </w:r>
      <w:r>
        <w:rPr>
          <w:b/>
          <w:bCs/>
          <w:color w:val="auto"/>
          <w:sz w:val="24"/>
          <w:szCs w:val="32"/>
          <w:highlight w:val="none"/>
        </w:rPr>
        <w:fldChar w:fldCharType="separate"/>
      </w:r>
      <w:r>
        <w:rPr>
          <w:b/>
          <w:bCs/>
          <w:color w:val="auto"/>
          <w:sz w:val="24"/>
          <w:szCs w:val="32"/>
          <w:highlight w:val="none"/>
        </w:rPr>
        <w:t>6</w:t>
      </w:r>
      <w:r>
        <w:rPr>
          <w:b/>
          <w:bCs/>
          <w:color w:val="auto"/>
          <w:sz w:val="24"/>
          <w:szCs w:val="32"/>
          <w:highlight w:val="none"/>
        </w:rPr>
        <w:fldChar w:fldCharType="end"/>
      </w:r>
      <w:r>
        <w:rPr>
          <w:rFonts w:hint="eastAsia" w:ascii="宋体" w:hAnsi="宋体" w:eastAsia="宋体" w:cs="宋体"/>
          <w:b/>
          <w:bCs/>
          <w:color w:val="auto"/>
          <w:sz w:val="24"/>
          <w:szCs w:val="32"/>
          <w:highlight w:val="none"/>
        </w:rPr>
        <w:fldChar w:fldCharType="end"/>
      </w:r>
    </w:p>
    <w:p w14:paraId="5778EB7E">
      <w:pPr>
        <w:pStyle w:val="25"/>
        <w:tabs>
          <w:tab w:val="right" w:leader="dot" w:pos="8400"/>
        </w:tabs>
        <w:spacing w:line="360" w:lineRule="auto"/>
        <w:rPr>
          <w:b/>
          <w:bCs/>
          <w:color w:val="auto"/>
          <w:sz w:val="24"/>
          <w:szCs w:val="32"/>
          <w:highlight w:val="none"/>
        </w:rPr>
      </w:pPr>
      <w:r>
        <w:rPr>
          <w:rFonts w:hint="eastAsia" w:ascii="宋体" w:hAnsi="宋体" w:eastAsia="宋体" w:cs="宋体"/>
          <w:b/>
          <w:bCs/>
          <w:color w:val="auto"/>
          <w:sz w:val="24"/>
          <w:szCs w:val="32"/>
          <w:highlight w:val="none"/>
        </w:rPr>
        <w:fldChar w:fldCharType="begin"/>
      </w:r>
      <w:r>
        <w:rPr>
          <w:rFonts w:hint="eastAsia" w:ascii="宋体" w:hAnsi="宋体" w:eastAsia="宋体" w:cs="宋体"/>
          <w:b/>
          <w:bCs/>
          <w:color w:val="auto"/>
          <w:sz w:val="24"/>
          <w:szCs w:val="32"/>
          <w:highlight w:val="none"/>
        </w:rPr>
        <w:instrText xml:space="preserve"> HYPERLINK \l _Toc10084 </w:instrText>
      </w:r>
      <w:r>
        <w:rPr>
          <w:rFonts w:hint="eastAsia" w:ascii="宋体" w:hAnsi="宋体" w:eastAsia="宋体" w:cs="宋体"/>
          <w:b/>
          <w:bCs/>
          <w:color w:val="auto"/>
          <w:sz w:val="24"/>
          <w:szCs w:val="32"/>
          <w:highlight w:val="none"/>
        </w:rPr>
        <w:fldChar w:fldCharType="separate"/>
      </w:r>
      <w:r>
        <w:rPr>
          <w:rFonts w:hint="eastAsia" w:ascii="宋体" w:hAnsi="宋体" w:eastAsia="宋体" w:cs="宋体"/>
          <w:b/>
          <w:bCs/>
          <w:color w:val="auto"/>
          <w:sz w:val="24"/>
          <w:szCs w:val="32"/>
          <w:highlight w:val="none"/>
        </w:rPr>
        <w:t>第三章 采购需求</w:t>
      </w:r>
      <w:r>
        <w:rPr>
          <w:b/>
          <w:bCs/>
          <w:color w:val="auto"/>
          <w:sz w:val="24"/>
          <w:szCs w:val="32"/>
          <w:highlight w:val="none"/>
        </w:rPr>
        <w:tab/>
      </w:r>
      <w:r>
        <w:rPr>
          <w:b/>
          <w:bCs/>
          <w:color w:val="auto"/>
          <w:sz w:val="24"/>
          <w:szCs w:val="32"/>
          <w:highlight w:val="none"/>
        </w:rPr>
        <w:fldChar w:fldCharType="begin"/>
      </w:r>
      <w:r>
        <w:rPr>
          <w:b/>
          <w:bCs/>
          <w:color w:val="auto"/>
          <w:sz w:val="24"/>
          <w:szCs w:val="32"/>
          <w:highlight w:val="none"/>
        </w:rPr>
        <w:instrText xml:space="preserve"> PAGEREF _Toc10084 \h </w:instrText>
      </w:r>
      <w:r>
        <w:rPr>
          <w:b/>
          <w:bCs/>
          <w:color w:val="auto"/>
          <w:sz w:val="24"/>
          <w:szCs w:val="32"/>
          <w:highlight w:val="none"/>
        </w:rPr>
        <w:fldChar w:fldCharType="separate"/>
      </w:r>
      <w:r>
        <w:rPr>
          <w:b/>
          <w:bCs/>
          <w:color w:val="auto"/>
          <w:sz w:val="24"/>
          <w:szCs w:val="32"/>
          <w:highlight w:val="none"/>
        </w:rPr>
        <w:t>22</w:t>
      </w:r>
      <w:r>
        <w:rPr>
          <w:b/>
          <w:bCs/>
          <w:color w:val="auto"/>
          <w:sz w:val="24"/>
          <w:szCs w:val="32"/>
          <w:highlight w:val="none"/>
        </w:rPr>
        <w:fldChar w:fldCharType="end"/>
      </w:r>
      <w:r>
        <w:rPr>
          <w:rFonts w:hint="eastAsia" w:ascii="宋体" w:hAnsi="宋体" w:eastAsia="宋体" w:cs="宋体"/>
          <w:b/>
          <w:bCs/>
          <w:color w:val="auto"/>
          <w:sz w:val="24"/>
          <w:szCs w:val="32"/>
          <w:highlight w:val="none"/>
        </w:rPr>
        <w:fldChar w:fldCharType="end"/>
      </w:r>
    </w:p>
    <w:p w14:paraId="1340213E">
      <w:pPr>
        <w:pStyle w:val="25"/>
        <w:tabs>
          <w:tab w:val="right" w:leader="dot" w:pos="8400"/>
        </w:tabs>
        <w:spacing w:line="360" w:lineRule="auto"/>
        <w:rPr>
          <w:b/>
          <w:bCs/>
          <w:color w:val="auto"/>
          <w:sz w:val="24"/>
          <w:szCs w:val="32"/>
          <w:highlight w:val="none"/>
        </w:rPr>
      </w:pPr>
      <w:r>
        <w:rPr>
          <w:rFonts w:hint="eastAsia" w:ascii="宋体" w:hAnsi="宋体" w:eastAsia="宋体" w:cs="宋体"/>
          <w:b/>
          <w:bCs/>
          <w:color w:val="auto"/>
          <w:sz w:val="24"/>
          <w:szCs w:val="32"/>
          <w:highlight w:val="none"/>
        </w:rPr>
        <w:fldChar w:fldCharType="begin"/>
      </w:r>
      <w:r>
        <w:rPr>
          <w:rFonts w:hint="eastAsia" w:ascii="宋体" w:hAnsi="宋体" w:eastAsia="宋体" w:cs="宋体"/>
          <w:b/>
          <w:bCs/>
          <w:color w:val="auto"/>
          <w:sz w:val="24"/>
          <w:szCs w:val="32"/>
          <w:highlight w:val="none"/>
        </w:rPr>
        <w:instrText xml:space="preserve"> HYPERLINK \l _Toc21472 </w:instrText>
      </w:r>
      <w:r>
        <w:rPr>
          <w:rFonts w:hint="eastAsia" w:ascii="宋体" w:hAnsi="宋体" w:eastAsia="宋体" w:cs="宋体"/>
          <w:b/>
          <w:bCs/>
          <w:color w:val="auto"/>
          <w:sz w:val="24"/>
          <w:szCs w:val="32"/>
          <w:highlight w:val="none"/>
        </w:rPr>
        <w:fldChar w:fldCharType="separate"/>
      </w:r>
      <w:r>
        <w:rPr>
          <w:rFonts w:hint="eastAsia" w:ascii="宋体" w:hAnsi="宋体" w:eastAsia="宋体" w:cs="宋体"/>
          <w:b/>
          <w:bCs/>
          <w:color w:val="auto"/>
          <w:sz w:val="24"/>
          <w:szCs w:val="32"/>
          <w:highlight w:val="none"/>
        </w:rPr>
        <w:t>第四章 评审程序、评审方法和评审标准</w:t>
      </w:r>
      <w:r>
        <w:rPr>
          <w:b/>
          <w:bCs/>
          <w:color w:val="auto"/>
          <w:sz w:val="24"/>
          <w:szCs w:val="32"/>
          <w:highlight w:val="none"/>
        </w:rPr>
        <w:tab/>
      </w:r>
      <w:r>
        <w:rPr>
          <w:b/>
          <w:bCs/>
          <w:color w:val="auto"/>
          <w:sz w:val="24"/>
          <w:szCs w:val="32"/>
          <w:highlight w:val="none"/>
        </w:rPr>
        <w:fldChar w:fldCharType="begin"/>
      </w:r>
      <w:r>
        <w:rPr>
          <w:b/>
          <w:bCs/>
          <w:color w:val="auto"/>
          <w:sz w:val="24"/>
          <w:szCs w:val="32"/>
          <w:highlight w:val="none"/>
        </w:rPr>
        <w:instrText xml:space="preserve"> PAGEREF _Toc21472 \h </w:instrText>
      </w:r>
      <w:r>
        <w:rPr>
          <w:b/>
          <w:bCs/>
          <w:color w:val="auto"/>
          <w:sz w:val="24"/>
          <w:szCs w:val="32"/>
          <w:highlight w:val="none"/>
        </w:rPr>
        <w:fldChar w:fldCharType="separate"/>
      </w:r>
      <w:r>
        <w:rPr>
          <w:b/>
          <w:bCs/>
          <w:color w:val="auto"/>
          <w:sz w:val="24"/>
          <w:szCs w:val="32"/>
          <w:highlight w:val="none"/>
        </w:rPr>
        <w:t>28</w:t>
      </w:r>
      <w:r>
        <w:rPr>
          <w:b/>
          <w:bCs/>
          <w:color w:val="auto"/>
          <w:sz w:val="24"/>
          <w:szCs w:val="32"/>
          <w:highlight w:val="none"/>
        </w:rPr>
        <w:fldChar w:fldCharType="end"/>
      </w:r>
      <w:r>
        <w:rPr>
          <w:rFonts w:hint="eastAsia" w:ascii="宋体" w:hAnsi="宋体" w:eastAsia="宋体" w:cs="宋体"/>
          <w:b/>
          <w:bCs/>
          <w:color w:val="auto"/>
          <w:sz w:val="24"/>
          <w:szCs w:val="32"/>
          <w:highlight w:val="none"/>
        </w:rPr>
        <w:fldChar w:fldCharType="end"/>
      </w:r>
    </w:p>
    <w:p w14:paraId="037804DF">
      <w:pPr>
        <w:pStyle w:val="25"/>
        <w:tabs>
          <w:tab w:val="right" w:leader="dot" w:pos="8400"/>
        </w:tabs>
        <w:spacing w:line="360" w:lineRule="auto"/>
        <w:rPr>
          <w:b/>
          <w:bCs/>
          <w:color w:val="auto"/>
          <w:sz w:val="24"/>
          <w:szCs w:val="32"/>
          <w:highlight w:val="none"/>
        </w:rPr>
      </w:pPr>
      <w:r>
        <w:rPr>
          <w:rFonts w:hint="eastAsia" w:ascii="宋体" w:hAnsi="宋体" w:eastAsia="宋体" w:cs="宋体"/>
          <w:b/>
          <w:bCs/>
          <w:color w:val="auto"/>
          <w:sz w:val="24"/>
          <w:szCs w:val="32"/>
          <w:highlight w:val="none"/>
        </w:rPr>
        <w:fldChar w:fldCharType="begin"/>
      </w:r>
      <w:r>
        <w:rPr>
          <w:rFonts w:hint="eastAsia" w:ascii="宋体" w:hAnsi="宋体" w:eastAsia="宋体" w:cs="宋体"/>
          <w:b/>
          <w:bCs/>
          <w:color w:val="auto"/>
          <w:sz w:val="24"/>
          <w:szCs w:val="32"/>
          <w:highlight w:val="none"/>
        </w:rPr>
        <w:instrText xml:space="preserve"> HYPERLINK \l _Toc27413 </w:instrText>
      </w:r>
      <w:r>
        <w:rPr>
          <w:rFonts w:hint="eastAsia" w:ascii="宋体" w:hAnsi="宋体" w:eastAsia="宋体" w:cs="宋体"/>
          <w:b/>
          <w:bCs/>
          <w:color w:val="auto"/>
          <w:sz w:val="24"/>
          <w:szCs w:val="32"/>
          <w:highlight w:val="none"/>
        </w:rPr>
        <w:fldChar w:fldCharType="separate"/>
      </w:r>
      <w:r>
        <w:rPr>
          <w:rFonts w:hint="eastAsia" w:ascii="宋体" w:hAnsi="宋体" w:eastAsia="宋体" w:cs="宋体"/>
          <w:b/>
          <w:bCs/>
          <w:color w:val="auto"/>
          <w:sz w:val="24"/>
          <w:szCs w:val="32"/>
          <w:highlight w:val="none"/>
        </w:rPr>
        <w:t>第五章 响应文件格式</w:t>
      </w:r>
      <w:r>
        <w:rPr>
          <w:b/>
          <w:bCs/>
          <w:color w:val="auto"/>
          <w:sz w:val="24"/>
          <w:szCs w:val="32"/>
          <w:highlight w:val="none"/>
        </w:rPr>
        <w:tab/>
      </w:r>
      <w:r>
        <w:rPr>
          <w:b/>
          <w:bCs/>
          <w:color w:val="auto"/>
          <w:sz w:val="24"/>
          <w:szCs w:val="32"/>
          <w:highlight w:val="none"/>
        </w:rPr>
        <w:fldChar w:fldCharType="begin"/>
      </w:r>
      <w:r>
        <w:rPr>
          <w:b/>
          <w:bCs/>
          <w:color w:val="auto"/>
          <w:sz w:val="24"/>
          <w:szCs w:val="32"/>
          <w:highlight w:val="none"/>
        </w:rPr>
        <w:instrText xml:space="preserve"> PAGEREF _Toc27413 \h </w:instrText>
      </w:r>
      <w:r>
        <w:rPr>
          <w:b/>
          <w:bCs/>
          <w:color w:val="auto"/>
          <w:sz w:val="24"/>
          <w:szCs w:val="32"/>
          <w:highlight w:val="none"/>
        </w:rPr>
        <w:fldChar w:fldCharType="separate"/>
      </w:r>
      <w:r>
        <w:rPr>
          <w:b/>
          <w:bCs/>
          <w:color w:val="auto"/>
          <w:sz w:val="24"/>
          <w:szCs w:val="32"/>
          <w:highlight w:val="none"/>
        </w:rPr>
        <w:t>38</w:t>
      </w:r>
      <w:r>
        <w:rPr>
          <w:b/>
          <w:bCs/>
          <w:color w:val="auto"/>
          <w:sz w:val="24"/>
          <w:szCs w:val="32"/>
          <w:highlight w:val="none"/>
        </w:rPr>
        <w:fldChar w:fldCharType="end"/>
      </w:r>
      <w:r>
        <w:rPr>
          <w:rFonts w:hint="eastAsia" w:ascii="宋体" w:hAnsi="宋体" w:eastAsia="宋体" w:cs="宋体"/>
          <w:b/>
          <w:bCs/>
          <w:color w:val="auto"/>
          <w:sz w:val="24"/>
          <w:szCs w:val="32"/>
          <w:highlight w:val="none"/>
        </w:rPr>
        <w:fldChar w:fldCharType="end"/>
      </w:r>
    </w:p>
    <w:p w14:paraId="79B12BB2">
      <w:pPr>
        <w:pStyle w:val="25"/>
        <w:tabs>
          <w:tab w:val="right" w:leader="dot" w:pos="8400"/>
        </w:tabs>
        <w:spacing w:line="360" w:lineRule="auto"/>
        <w:rPr>
          <w:b/>
          <w:bCs/>
          <w:color w:val="auto"/>
          <w:sz w:val="24"/>
          <w:szCs w:val="32"/>
          <w:highlight w:val="none"/>
        </w:rPr>
      </w:pPr>
      <w:r>
        <w:rPr>
          <w:rFonts w:hint="eastAsia" w:ascii="宋体" w:hAnsi="宋体" w:eastAsia="宋体" w:cs="宋体"/>
          <w:b/>
          <w:bCs/>
          <w:color w:val="auto"/>
          <w:sz w:val="24"/>
          <w:szCs w:val="32"/>
          <w:highlight w:val="none"/>
        </w:rPr>
        <w:fldChar w:fldCharType="begin"/>
      </w:r>
      <w:r>
        <w:rPr>
          <w:rFonts w:hint="eastAsia" w:ascii="宋体" w:hAnsi="宋体" w:eastAsia="宋体" w:cs="宋体"/>
          <w:b/>
          <w:bCs/>
          <w:color w:val="auto"/>
          <w:sz w:val="24"/>
          <w:szCs w:val="32"/>
          <w:highlight w:val="none"/>
        </w:rPr>
        <w:instrText xml:space="preserve"> HYPERLINK \l _Toc11735 </w:instrText>
      </w:r>
      <w:r>
        <w:rPr>
          <w:rFonts w:hint="eastAsia" w:ascii="宋体" w:hAnsi="宋体" w:eastAsia="宋体" w:cs="宋体"/>
          <w:b/>
          <w:bCs/>
          <w:color w:val="auto"/>
          <w:sz w:val="24"/>
          <w:szCs w:val="32"/>
          <w:highlight w:val="none"/>
        </w:rPr>
        <w:fldChar w:fldCharType="separate"/>
      </w:r>
      <w:r>
        <w:rPr>
          <w:rFonts w:hint="eastAsia"/>
          <w:b/>
          <w:bCs/>
          <w:color w:val="auto"/>
          <w:sz w:val="24"/>
          <w:szCs w:val="32"/>
          <w:highlight w:val="none"/>
        </w:rPr>
        <w:t>第六章 合同文本</w:t>
      </w:r>
      <w:r>
        <w:rPr>
          <w:b/>
          <w:bCs/>
          <w:color w:val="auto"/>
          <w:sz w:val="24"/>
          <w:szCs w:val="32"/>
          <w:highlight w:val="none"/>
        </w:rPr>
        <w:tab/>
      </w:r>
      <w:r>
        <w:rPr>
          <w:b/>
          <w:bCs/>
          <w:color w:val="auto"/>
          <w:sz w:val="24"/>
          <w:szCs w:val="32"/>
          <w:highlight w:val="none"/>
        </w:rPr>
        <w:fldChar w:fldCharType="begin"/>
      </w:r>
      <w:r>
        <w:rPr>
          <w:b/>
          <w:bCs/>
          <w:color w:val="auto"/>
          <w:sz w:val="24"/>
          <w:szCs w:val="32"/>
          <w:highlight w:val="none"/>
        </w:rPr>
        <w:instrText xml:space="preserve"> PAGEREF _Toc11735 \h </w:instrText>
      </w:r>
      <w:r>
        <w:rPr>
          <w:b/>
          <w:bCs/>
          <w:color w:val="auto"/>
          <w:sz w:val="24"/>
          <w:szCs w:val="32"/>
          <w:highlight w:val="none"/>
        </w:rPr>
        <w:fldChar w:fldCharType="separate"/>
      </w:r>
      <w:r>
        <w:rPr>
          <w:b/>
          <w:bCs/>
          <w:color w:val="auto"/>
          <w:sz w:val="24"/>
          <w:szCs w:val="32"/>
          <w:highlight w:val="none"/>
        </w:rPr>
        <w:t>65</w:t>
      </w:r>
      <w:r>
        <w:rPr>
          <w:b/>
          <w:bCs/>
          <w:color w:val="auto"/>
          <w:sz w:val="24"/>
          <w:szCs w:val="32"/>
          <w:highlight w:val="none"/>
        </w:rPr>
        <w:fldChar w:fldCharType="end"/>
      </w:r>
      <w:r>
        <w:rPr>
          <w:rFonts w:hint="eastAsia" w:ascii="宋体" w:hAnsi="宋体" w:eastAsia="宋体" w:cs="宋体"/>
          <w:b/>
          <w:bCs/>
          <w:color w:val="auto"/>
          <w:sz w:val="24"/>
          <w:szCs w:val="32"/>
          <w:highlight w:val="none"/>
        </w:rPr>
        <w:fldChar w:fldCharType="end"/>
      </w:r>
    </w:p>
    <w:p w14:paraId="310CEAFA">
      <w:pPr>
        <w:pStyle w:val="235"/>
        <w:tabs>
          <w:tab w:val="right" w:leader="dot" w:pos="8931"/>
        </w:tabs>
        <w:spacing w:line="360" w:lineRule="auto"/>
        <w:ind w:left="0"/>
        <w:rPr>
          <w:rFonts w:hint="eastAsia" w:ascii="宋体" w:hAnsi="宋体" w:eastAsia="宋体" w:cs="宋体"/>
          <w:b/>
          <w:color w:val="auto"/>
          <w:sz w:val="24"/>
          <w:highlight w:val="none"/>
        </w:rPr>
      </w:pPr>
      <w:r>
        <w:rPr>
          <w:rFonts w:hint="eastAsia" w:ascii="宋体" w:hAnsi="宋体" w:eastAsia="宋体" w:cs="宋体"/>
          <w:b/>
          <w:bCs/>
          <w:color w:val="auto"/>
          <w:sz w:val="24"/>
          <w:szCs w:val="32"/>
          <w:highlight w:val="none"/>
        </w:rPr>
        <w:fldChar w:fldCharType="end"/>
      </w:r>
    </w:p>
    <w:p w14:paraId="112A4F92">
      <w:pPr>
        <w:spacing w:line="400" w:lineRule="exact"/>
        <w:jc w:val="left"/>
        <w:rPr>
          <w:rFonts w:hint="eastAsia" w:ascii="宋体" w:hAnsi="宋体" w:eastAsia="宋体" w:cs="宋体"/>
          <w:b/>
          <w:color w:val="auto"/>
          <w:sz w:val="32"/>
          <w:szCs w:val="32"/>
          <w:highlight w:val="none"/>
        </w:rPr>
      </w:pPr>
    </w:p>
    <w:p w14:paraId="03858140">
      <w:pPr>
        <w:spacing w:line="400" w:lineRule="exact"/>
        <w:jc w:val="center"/>
        <w:rPr>
          <w:rFonts w:hint="eastAsia" w:ascii="宋体" w:hAnsi="宋体" w:eastAsia="宋体" w:cs="宋体"/>
          <w:b/>
          <w:color w:val="auto"/>
          <w:sz w:val="32"/>
          <w:szCs w:val="32"/>
          <w:highlight w:val="none"/>
        </w:rPr>
      </w:pPr>
    </w:p>
    <w:p w14:paraId="078D4B27">
      <w:pPr>
        <w:spacing w:line="400" w:lineRule="exact"/>
        <w:jc w:val="center"/>
        <w:rPr>
          <w:rFonts w:hint="eastAsia" w:ascii="宋体" w:hAnsi="宋体" w:eastAsia="宋体" w:cs="宋体"/>
          <w:b/>
          <w:color w:val="auto"/>
          <w:sz w:val="32"/>
          <w:szCs w:val="32"/>
          <w:highlight w:val="none"/>
        </w:rPr>
      </w:pPr>
    </w:p>
    <w:p w14:paraId="073DD156">
      <w:pPr>
        <w:spacing w:line="400" w:lineRule="exact"/>
        <w:jc w:val="center"/>
        <w:rPr>
          <w:rFonts w:hint="eastAsia" w:ascii="宋体" w:hAnsi="宋体" w:eastAsia="宋体" w:cs="宋体"/>
          <w:b/>
          <w:color w:val="auto"/>
          <w:sz w:val="32"/>
          <w:szCs w:val="32"/>
          <w:highlight w:val="none"/>
        </w:rPr>
      </w:pPr>
    </w:p>
    <w:p w14:paraId="387F1B3A">
      <w:pPr>
        <w:spacing w:line="400" w:lineRule="exact"/>
        <w:jc w:val="center"/>
        <w:rPr>
          <w:rFonts w:hint="eastAsia" w:ascii="宋体" w:hAnsi="宋体" w:eastAsia="宋体" w:cs="宋体"/>
          <w:b/>
          <w:color w:val="auto"/>
          <w:sz w:val="32"/>
          <w:szCs w:val="32"/>
          <w:highlight w:val="none"/>
        </w:rPr>
      </w:pPr>
    </w:p>
    <w:p w14:paraId="51E5D4A4">
      <w:pPr>
        <w:spacing w:line="400" w:lineRule="exact"/>
        <w:rPr>
          <w:rFonts w:hint="eastAsia" w:ascii="宋体" w:hAnsi="宋体" w:eastAsia="宋体" w:cs="宋体"/>
          <w:b/>
          <w:color w:val="auto"/>
          <w:sz w:val="32"/>
          <w:szCs w:val="32"/>
          <w:highlight w:val="none"/>
        </w:rPr>
        <w:sectPr>
          <w:headerReference r:id="rId4" w:type="first"/>
          <w:footerReference r:id="rId6" w:type="first"/>
          <w:headerReference r:id="rId3" w:type="default"/>
          <w:footerReference r:id="rId5" w:type="default"/>
          <w:pgSz w:w="11906" w:h="16838"/>
          <w:pgMar w:top="1440" w:right="1919" w:bottom="1440" w:left="1587" w:header="851" w:footer="992" w:gutter="0"/>
          <w:cols w:space="1701" w:num="1"/>
          <w:titlePg/>
        </w:sectPr>
      </w:pPr>
    </w:p>
    <w:p w14:paraId="149CD6C9">
      <w:pPr>
        <w:pStyle w:val="199"/>
        <w:spacing w:line="360" w:lineRule="exact"/>
        <w:jc w:val="center"/>
        <w:rPr>
          <w:rFonts w:hint="eastAsia" w:ascii="宋体" w:hAnsi="宋体" w:eastAsia="宋体" w:cs="宋体"/>
          <w:color w:val="auto"/>
          <w:highlight w:val="none"/>
        </w:rPr>
      </w:pPr>
      <w:bookmarkStart w:id="0" w:name="_Toc4696"/>
      <w:r>
        <w:rPr>
          <w:rFonts w:hint="eastAsia" w:ascii="宋体" w:hAnsi="宋体" w:eastAsia="宋体" w:cs="宋体"/>
          <w:color w:val="auto"/>
          <w:highlight w:val="none"/>
        </w:rPr>
        <w:t>第一章 竞争性磋商公告</w:t>
      </w:r>
      <w:bookmarkEnd w:id="0"/>
    </w:p>
    <w:p w14:paraId="1F1AB714">
      <w:pPr>
        <w:spacing w:line="360" w:lineRule="exact"/>
        <w:jc w:val="center"/>
        <w:rPr>
          <w:rFonts w:hint="eastAsia" w:ascii="宋体" w:hAnsi="宋体" w:eastAsia="宋体" w:cs="宋体"/>
          <w:color w:val="auto"/>
          <w:sz w:val="32"/>
          <w:szCs w:val="32"/>
          <w:highlight w:val="none"/>
        </w:rPr>
      </w:pPr>
      <w:bookmarkStart w:id="1" w:name="_Hlk37430271"/>
      <w:r>
        <w:rPr>
          <w:rFonts w:hint="eastAsia" w:ascii="宋体" w:hAnsi="宋体" w:eastAsia="宋体" w:cs="宋体"/>
          <w:b/>
          <w:bCs/>
          <w:color w:val="auto"/>
          <w:sz w:val="32"/>
          <w:szCs w:val="32"/>
          <w:highlight w:val="none"/>
        </w:rPr>
        <w:t>竞争性磋商公告</w:t>
      </w:r>
    </w:p>
    <w:p w14:paraId="18C21DE1">
      <w:pPr>
        <w:pBdr>
          <w:top w:val="single" w:color="000000" w:sz="4" w:space="1"/>
          <w:left w:val="single" w:color="000000" w:sz="4" w:space="4"/>
          <w:bottom w:val="single" w:color="000000" w:sz="4" w:space="1"/>
          <w:right w:val="single" w:color="000000" w:sz="4" w:space="4"/>
        </w:pBd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项目概况</w:t>
      </w:r>
    </w:p>
    <w:p w14:paraId="6129FD66">
      <w:pPr>
        <w:pBdr>
          <w:top w:val="single" w:color="000000" w:sz="4" w:space="1"/>
          <w:left w:val="single" w:color="000000" w:sz="4" w:space="4"/>
          <w:bottom w:val="single" w:color="000000" w:sz="4" w:space="1"/>
          <w:right w:val="single" w:color="000000" w:sz="4" w:space="4"/>
        </w:pBd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eastAsia="zh-CN"/>
        </w:rPr>
        <w:t>校园可视化一键式报警系统网络接入服务</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项目的潜在供应商应在</w:t>
      </w:r>
      <w:r>
        <w:rPr>
          <w:rFonts w:hint="eastAsia" w:ascii="宋体" w:hAnsi="宋体" w:eastAsia="宋体" w:cs="宋体"/>
          <w:b/>
          <w:color w:val="auto"/>
          <w:szCs w:val="21"/>
          <w:highlight w:val="none"/>
          <w:u w:val="single"/>
        </w:rPr>
        <w:t>云之龙咨询集团有限公司（地址：</w:t>
      </w:r>
      <w:r>
        <w:rPr>
          <w:rFonts w:hint="eastAsia" w:ascii="宋体" w:hAnsi="宋体" w:cs="宋体"/>
          <w:b/>
          <w:color w:val="auto"/>
          <w:szCs w:val="21"/>
          <w:highlight w:val="none"/>
          <w:u w:val="single"/>
          <w:lang w:val="en-US" w:eastAsia="zh-CN"/>
        </w:rPr>
        <w:t>藤县河东安泰五街62号</w:t>
      </w:r>
      <w:r>
        <w:rPr>
          <w:rFonts w:hint="eastAsia" w:ascii="宋体" w:hAnsi="宋体" w:eastAsia="宋体" w:cs="宋体"/>
          <w:b/>
          <w:color w:val="auto"/>
          <w:szCs w:val="21"/>
          <w:highlight w:val="none"/>
          <w:u w:val="single"/>
        </w:rPr>
        <w:t>）</w:t>
      </w:r>
      <w:r>
        <w:rPr>
          <w:rFonts w:hint="eastAsia" w:ascii="宋体" w:hAnsi="宋体" w:eastAsia="宋体" w:cs="宋体"/>
          <w:color w:val="auto"/>
          <w:szCs w:val="21"/>
          <w:highlight w:val="none"/>
        </w:rPr>
        <w:t>获取竞争</w:t>
      </w:r>
      <w:r>
        <w:rPr>
          <w:rFonts w:hint="eastAsia" w:ascii="宋体" w:hAnsi="宋体" w:eastAsia="宋体" w:cs="宋体"/>
          <w:color w:val="auto"/>
          <w:szCs w:val="21"/>
          <w:highlight w:val="none"/>
        </w:rPr>
        <w:t>性磋商文件，并于</w:t>
      </w:r>
      <w:r>
        <w:rPr>
          <w:rFonts w:hint="eastAsia" w:ascii="宋体" w:hAnsi="宋体" w:eastAsia="宋体" w:cs="宋体"/>
          <w:color w:val="auto"/>
          <w:szCs w:val="21"/>
          <w:highlight w:val="none"/>
          <w:u w:val="single"/>
        </w:rPr>
        <w:t>202</w:t>
      </w:r>
      <w:r>
        <w:rPr>
          <w:rFonts w:hint="eastAsia" w:ascii="宋体" w:hAnsi="宋体" w:eastAsia="宋体" w:cs="宋体"/>
          <w:color w:val="auto"/>
          <w:szCs w:val="21"/>
          <w:highlight w:val="none"/>
          <w:u w:val="single"/>
          <w:lang w:val="en-US" w:eastAsia="zh-CN"/>
        </w:rPr>
        <w:t>6</w:t>
      </w:r>
      <w:r>
        <w:rPr>
          <w:rFonts w:hint="eastAsia" w:ascii="宋体" w:hAnsi="宋体" w:eastAsia="宋体" w:cs="宋体"/>
          <w:color w:val="auto"/>
          <w:szCs w:val="21"/>
          <w:highlight w:val="none"/>
          <w:u w:val="single"/>
        </w:rPr>
        <w:t>年</w:t>
      </w:r>
      <w:r>
        <w:rPr>
          <w:rFonts w:hint="eastAsia" w:ascii="宋体" w:hAnsi="宋体" w:cs="宋体"/>
          <w:color w:val="auto"/>
          <w:szCs w:val="21"/>
          <w:highlight w:val="none"/>
          <w:u w:val="single"/>
          <w:lang w:val="en-US" w:eastAsia="zh-CN"/>
        </w:rPr>
        <w:t>7</w:t>
      </w:r>
      <w:r>
        <w:rPr>
          <w:rFonts w:hint="eastAsia" w:ascii="宋体" w:hAnsi="宋体" w:eastAsia="宋体" w:cs="宋体"/>
          <w:color w:val="auto"/>
          <w:szCs w:val="21"/>
          <w:highlight w:val="none"/>
          <w:u w:val="single"/>
        </w:rPr>
        <w:t>月</w:t>
      </w:r>
      <w:r>
        <w:rPr>
          <w:rFonts w:hint="eastAsia" w:ascii="宋体" w:hAnsi="宋体" w:cs="宋体"/>
          <w:color w:val="auto"/>
          <w:szCs w:val="21"/>
          <w:highlight w:val="none"/>
          <w:u w:val="single"/>
          <w:lang w:val="en-US" w:eastAsia="zh-CN"/>
        </w:rPr>
        <w:t>28</w:t>
      </w:r>
      <w:r>
        <w:rPr>
          <w:rFonts w:hint="eastAsia" w:ascii="宋体" w:hAnsi="宋体" w:eastAsia="宋体" w:cs="宋体"/>
          <w:color w:val="auto"/>
          <w:szCs w:val="21"/>
          <w:highlight w:val="none"/>
          <w:u w:val="single"/>
        </w:rPr>
        <w:t>日</w:t>
      </w:r>
      <w:r>
        <w:rPr>
          <w:rFonts w:hint="eastAsia" w:ascii="宋体" w:hAnsi="宋体" w:cs="宋体"/>
          <w:color w:val="auto"/>
          <w:szCs w:val="21"/>
          <w:highlight w:val="none"/>
          <w:u w:val="single"/>
          <w:lang w:val="en-US" w:eastAsia="zh-CN"/>
        </w:rPr>
        <w:t>9</w:t>
      </w:r>
      <w:r>
        <w:rPr>
          <w:rFonts w:hint="eastAsia" w:ascii="宋体" w:hAnsi="宋体" w:eastAsia="宋体" w:cs="宋体"/>
          <w:color w:val="auto"/>
          <w:szCs w:val="21"/>
          <w:highlight w:val="none"/>
          <w:u w:val="single"/>
        </w:rPr>
        <w:t>时</w:t>
      </w:r>
      <w:r>
        <w:rPr>
          <w:rFonts w:hint="eastAsia" w:ascii="宋体" w:hAnsi="宋体" w:eastAsia="宋体" w:cs="宋体"/>
          <w:color w:val="auto"/>
          <w:szCs w:val="21"/>
          <w:highlight w:val="none"/>
          <w:u w:val="single"/>
          <w:lang w:val="en-US" w:eastAsia="zh-CN"/>
        </w:rPr>
        <w:t>00</w:t>
      </w:r>
      <w:r>
        <w:rPr>
          <w:rFonts w:hint="eastAsia" w:ascii="宋体" w:hAnsi="宋体" w:eastAsia="宋体" w:cs="宋体"/>
          <w:color w:val="auto"/>
          <w:szCs w:val="21"/>
          <w:highlight w:val="none"/>
          <w:u w:val="single"/>
        </w:rPr>
        <w:t>分</w:t>
      </w:r>
      <w:r>
        <w:rPr>
          <w:rFonts w:hint="eastAsia" w:ascii="宋体" w:hAnsi="宋体" w:eastAsia="宋体" w:cs="宋体"/>
          <w:bCs/>
          <w:color w:val="auto"/>
          <w:szCs w:val="21"/>
          <w:highlight w:val="none"/>
          <w:u w:val="none"/>
        </w:rPr>
        <w:t>（</w:t>
      </w:r>
      <w:r>
        <w:rPr>
          <w:rFonts w:hint="eastAsia" w:ascii="宋体" w:hAnsi="宋体" w:eastAsia="宋体" w:cs="宋体"/>
          <w:bCs/>
          <w:color w:val="auto"/>
          <w:szCs w:val="21"/>
          <w:highlight w:val="none"/>
        </w:rPr>
        <w:t>北京时间）前提交</w:t>
      </w:r>
      <w:r>
        <w:rPr>
          <w:rFonts w:hint="eastAsia" w:ascii="宋体" w:hAnsi="宋体" w:eastAsia="宋体" w:cs="宋体"/>
          <w:color w:val="auto"/>
          <w:szCs w:val="21"/>
          <w:highlight w:val="none"/>
        </w:rPr>
        <w:t>响应</w:t>
      </w:r>
      <w:r>
        <w:rPr>
          <w:rFonts w:hint="eastAsia" w:ascii="宋体" w:hAnsi="宋体" w:eastAsia="宋体" w:cs="宋体"/>
          <w:bCs/>
          <w:color w:val="auto"/>
          <w:szCs w:val="21"/>
          <w:highlight w:val="none"/>
        </w:rPr>
        <w:t>文件。</w:t>
      </w:r>
    </w:p>
    <w:p w14:paraId="38745334">
      <w:pPr>
        <w:spacing w:line="360" w:lineRule="auto"/>
        <w:ind w:firstLine="310"/>
        <w:rPr>
          <w:rFonts w:hint="eastAsia" w:ascii="宋体" w:hAnsi="宋体" w:eastAsia="宋体" w:cs="宋体"/>
          <w:b/>
          <w:color w:val="auto"/>
          <w:szCs w:val="21"/>
          <w:highlight w:val="none"/>
        </w:rPr>
      </w:pPr>
      <w:bookmarkStart w:id="2" w:name="_Toc35393798"/>
      <w:bookmarkStart w:id="3" w:name="_Toc44229878"/>
      <w:bookmarkStart w:id="4" w:name="_Toc35393629"/>
      <w:bookmarkStart w:id="5" w:name="_Toc28359012"/>
      <w:bookmarkStart w:id="6" w:name="_Toc71365905"/>
      <w:bookmarkStart w:id="7" w:name="_Toc28359089"/>
      <w:r>
        <w:rPr>
          <w:rFonts w:hint="eastAsia" w:ascii="宋体" w:hAnsi="宋体" w:eastAsia="宋体" w:cs="宋体"/>
          <w:b/>
          <w:color w:val="auto"/>
          <w:szCs w:val="21"/>
          <w:highlight w:val="none"/>
        </w:rPr>
        <w:t>一、项目基本情况</w:t>
      </w:r>
      <w:bookmarkEnd w:id="1"/>
      <w:bookmarkEnd w:id="2"/>
      <w:bookmarkEnd w:id="3"/>
      <w:bookmarkEnd w:id="4"/>
      <w:bookmarkEnd w:id="5"/>
      <w:bookmarkEnd w:id="6"/>
    </w:p>
    <w:p w14:paraId="00EB32D1">
      <w:pPr>
        <w:spacing w:line="360" w:lineRule="auto"/>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项目编号：</w:t>
      </w:r>
      <w:r>
        <w:rPr>
          <w:rFonts w:hint="eastAsia" w:ascii="宋体" w:hAnsi="宋体" w:cs="宋体"/>
          <w:color w:val="auto"/>
          <w:szCs w:val="21"/>
          <w:highlight w:val="none"/>
          <w:lang w:eastAsia="zh-CN"/>
        </w:rPr>
        <w:t>YZLWZ2026-C3-071-TXQT</w:t>
      </w:r>
    </w:p>
    <w:p w14:paraId="619B20F4">
      <w:pPr>
        <w:spacing w:line="360" w:lineRule="auto"/>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项目名称：</w:t>
      </w:r>
      <w:r>
        <w:rPr>
          <w:rFonts w:hint="eastAsia" w:ascii="宋体" w:hAnsi="宋体" w:cs="宋体"/>
          <w:color w:val="auto"/>
          <w:szCs w:val="21"/>
          <w:highlight w:val="none"/>
          <w:lang w:eastAsia="zh-CN"/>
        </w:rPr>
        <w:t>校园可视化一键式报警系统网络接入服务</w:t>
      </w:r>
    </w:p>
    <w:p w14:paraId="25F56288">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采购方式：竞争性磋商</w:t>
      </w:r>
    </w:p>
    <w:p w14:paraId="5FD25B10">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预算金额：</w:t>
      </w:r>
      <w:r>
        <w:rPr>
          <w:rFonts w:hint="eastAsia" w:ascii="宋体" w:hAnsi="宋体" w:cs="宋体"/>
          <w:color w:val="auto"/>
          <w:szCs w:val="21"/>
          <w:highlight w:val="none"/>
          <w:lang w:val="en-US" w:eastAsia="zh-CN"/>
        </w:rPr>
        <w:t>730000</w:t>
      </w:r>
      <w:r>
        <w:rPr>
          <w:rFonts w:hint="eastAsia" w:ascii="宋体" w:hAnsi="宋体" w:eastAsia="宋体" w:cs="宋体"/>
          <w:color w:val="auto"/>
          <w:szCs w:val="21"/>
          <w:highlight w:val="none"/>
          <w:lang w:val="en-US" w:eastAsia="zh-CN"/>
        </w:rPr>
        <w:t>.00</w:t>
      </w:r>
      <w:r>
        <w:rPr>
          <w:rFonts w:hint="eastAsia" w:ascii="宋体" w:hAnsi="宋体" w:eastAsia="宋体" w:cs="宋体"/>
          <w:color w:val="auto"/>
          <w:szCs w:val="21"/>
          <w:highlight w:val="none"/>
        </w:rPr>
        <w:t>元</w:t>
      </w:r>
    </w:p>
    <w:p w14:paraId="42D0E2DD">
      <w:pPr>
        <w:spacing w:line="360" w:lineRule="auto"/>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最高限价：</w:t>
      </w:r>
      <w:r>
        <w:rPr>
          <w:rFonts w:hint="eastAsia" w:ascii="宋体" w:hAnsi="宋体" w:cs="宋体"/>
          <w:color w:val="auto"/>
          <w:szCs w:val="21"/>
          <w:highlight w:val="none"/>
          <w:lang w:val="en-US" w:eastAsia="zh-CN"/>
        </w:rPr>
        <w:t>730000</w:t>
      </w:r>
      <w:r>
        <w:rPr>
          <w:rFonts w:hint="eastAsia" w:ascii="宋体" w:hAnsi="宋体" w:eastAsia="宋体" w:cs="宋体"/>
          <w:color w:val="auto"/>
          <w:szCs w:val="21"/>
          <w:highlight w:val="none"/>
          <w:lang w:val="en-US" w:eastAsia="zh-CN"/>
        </w:rPr>
        <w:t>.00</w:t>
      </w:r>
      <w:r>
        <w:rPr>
          <w:rFonts w:hint="eastAsia" w:ascii="宋体" w:hAnsi="宋体" w:eastAsia="宋体" w:cs="宋体"/>
          <w:color w:val="auto"/>
          <w:szCs w:val="21"/>
          <w:highlight w:val="none"/>
        </w:rPr>
        <w:t>元</w:t>
      </w:r>
    </w:p>
    <w:p w14:paraId="65619719">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采购需求：</w:t>
      </w:r>
    </w:p>
    <w:tbl>
      <w:tblPr>
        <w:tblStyle w:val="35"/>
        <w:tblW w:w="888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79"/>
        <w:gridCol w:w="1317"/>
        <w:gridCol w:w="900"/>
        <w:gridCol w:w="5588"/>
      </w:tblGrid>
      <w:tr w14:paraId="4CFB49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02" w:hRule="atLeast"/>
          <w:jc w:val="center"/>
        </w:trPr>
        <w:tc>
          <w:tcPr>
            <w:tcW w:w="1079" w:type="dxa"/>
            <w:tcBorders>
              <w:top w:val="single" w:color="auto" w:sz="4" w:space="0"/>
              <w:left w:val="single" w:color="auto" w:sz="4" w:space="0"/>
              <w:bottom w:val="single" w:color="auto" w:sz="4" w:space="0"/>
              <w:right w:val="single" w:color="auto" w:sz="4" w:space="0"/>
            </w:tcBorders>
            <w:noWrap w:val="0"/>
            <w:vAlign w:val="center"/>
          </w:tcPr>
          <w:p w14:paraId="59665E28">
            <w:pPr>
              <w:keepNext w:val="0"/>
              <w:keepLines w:val="0"/>
              <w:pageBreakBefore w:val="0"/>
              <w:bidi w:val="0"/>
              <w:spacing w:line="30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317" w:type="dxa"/>
            <w:tcBorders>
              <w:top w:val="single" w:color="auto" w:sz="4" w:space="0"/>
              <w:left w:val="single" w:color="auto" w:sz="4" w:space="0"/>
              <w:bottom w:val="single" w:color="auto" w:sz="4" w:space="0"/>
              <w:right w:val="single" w:color="auto" w:sz="4" w:space="0"/>
            </w:tcBorders>
            <w:noWrap w:val="0"/>
            <w:vAlign w:val="center"/>
          </w:tcPr>
          <w:p w14:paraId="385FDD3F">
            <w:pPr>
              <w:keepNext w:val="0"/>
              <w:keepLines w:val="0"/>
              <w:pageBreakBefore w:val="0"/>
              <w:bidi w:val="0"/>
              <w:spacing w:line="30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标的的名称</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3FBD89F9">
            <w:pPr>
              <w:keepNext w:val="0"/>
              <w:keepLines w:val="0"/>
              <w:pageBreakBefore w:val="0"/>
              <w:bidi w:val="0"/>
              <w:spacing w:line="30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数量及单位</w:t>
            </w:r>
          </w:p>
        </w:tc>
        <w:tc>
          <w:tcPr>
            <w:tcW w:w="5588" w:type="dxa"/>
            <w:tcBorders>
              <w:top w:val="single" w:color="auto" w:sz="4" w:space="0"/>
              <w:left w:val="single" w:color="auto" w:sz="4" w:space="0"/>
              <w:bottom w:val="single" w:color="auto" w:sz="4" w:space="0"/>
              <w:right w:val="single" w:color="auto" w:sz="4" w:space="0"/>
            </w:tcBorders>
            <w:noWrap w:val="0"/>
            <w:vAlign w:val="center"/>
          </w:tcPr>
          <w:p w14:paraId="39D90532">
            <w:pPr>
              <w:keepNext w:val="0"/>
              <w:keepLines w:val="0"/>
              <w:pageBreakBefore w:val="0"/>
              <w:bidi w:val="0"/>
              <w:spacing w:line="30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简要技术需求或者服务要求</w:t>
            </w:r>
          </w:p>
        </w:tc>
      </w:tr>
      <w:tr w14:paraId="499E95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43" w:hRule="atLeast"/>
          <w:jc w:val="center"/>
        </w:trPr>
        <w:tc>
          <w:tcPr>
            <w:tcW w:w="1079" w:type="dxa"/>
            <w:tcBorders>
              <w:top w:val="single" w:color="auto" w:sz="4" w:space="0"/>
              <w:left w:val="single" w:color="auto" w:sz="4" w:space="0"/>
              <w:bottom w:val="single" w:color="auto" w:sz="4" w:space="0"/>
              <w:right w:val="single" w:color="auto" w:sz="4" w:space="0"/>
            </w:tcBorders>
            <w:noWrap w:val="0"/>
            <w:vAlign w:val="center"/>
          </w:tcPr>
          <w:p w14:paraId="5A2B2029">
            <w:pPr>
              <w:keepNext w:val="0"/>
              <w:keepLines w:val="0"/>
              <w:pageBreakBefore w:val="0"/>
              <w:bidi w:val="0"/>
              <w:spacing w:line="30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317" w:type="dxa"/>
            <w:tcBorders>
              <w:top w:val="single" w:color="auto" w:sz="4" w:space="0"/>
              <w:left w:val="single" w:color="auto" w:sz="4" w:space="0"/>
              <w:bottom w:val="single" w:color="auto" w:sz="4" w:space="0"/>
              <w:right w:val="single" w:color="auto" w:sz="4" w:space="0"/>
            </w:tcBorders>
            <w:noWrap w:val="0"/>
            <w:vAlign w:val="center"/>
          </w:tcPr>
          <w:p w14:paraId="08AA2425">
            <w:pPr>
              <w:keepNext w:val="0"/>
              <w:keepLines w:val="0"/>
              <w:pageBreakBefore w:val="0"/>
              <w:widowControl/>
              <w:suppressLineNumbers w:val="0"/>
              <w:bidi w:val="0"/>
              <w:spacing w:line="300" w:lineRule="auto"/>
              <w:jc w:val="center"/>
              <w:rPr>
                <w:rFonts w:hint="eastAsia" w:ascii="宋体" w:hAnsi="宋体" w:eastAsia="宋体" w:cs="宋体"/>
                <w:color w:val="auto"/>
                <w:sz w:val="21"/>
                <w:szCs w:val="21"/>
                <w:highlight w:val="none"/>
                <w:lang w:val="en-US"/>
              </w:rPr>
            </w:pPr>
            <w:r>
              <w:rPr>
                <w:rFonts w:hint="eastAsia" w:ascii="宋体" w:hAnsi="宋体" w:eastAsia="宋体" w:cs="宋体"/>
                <w:i w:val="0"/>
                <w:iCs w:val="0"/>
                <w:color w:val="auto"/>
                <w:sz w:val="21"/>
                <w:szCs w:val="21"/>
                <w:highlight w:val="none"/>
                <w:u w:val="none"/>
                <w:lang w:val="en-US" w:eastAsia="zh-CN" w:bidi="ar"/>
              </w:rPr>
              <w:t>线路服务点位</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01A039EA">
            <w:pPr>
              <w:keepNext w:val="0"/>
              <w:keepLines w:val="0"/>
              <w:pageBreakBefore w:val="0"/>
              <w:widowControl/>
              <w:suppressLineNumbers w:val="0"/>
              <w:bidi w:val="0"/>
              <w:spacing w:line="30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268个</w:t>
            </w:r>
          </w:p>
        </w:tc>
        <w:tc>
          <w:tcPr>
            <w:tcW w:w="5588" w:type="dxa"/>
            <w:tcBorders>
              <w:top w:val="single" w:color="auto" w:sz="4" w:space="0"/>
              <w:left w:val="single" w:color="auto" w:sz="4" w:space="0"/>
              <w:bottom w:val="single" w:color="auto" w:sz="4" w:space="0"/>
              <w:right w:val="single" w:color="auto" w:sz="4" w:space="0"/>
            </w:tcBorders>
            <w:noWrap w:val="0"/>
            <w:vAlign w:val="bottom"/>
          </w:tcPr>
          <w:p w14:paraId="4DE5F42B">
            <w:pPr>
              <w:keepNext w:val="0"/>
              <w:keepLines w:val="0"/>
              <w:pageBreakBefore w:val="0"/>
              <w:widowControl/>
              <w:suppressLineNumbers w:val="0"/>
              <w:bidi w:val="0"/>
              <w:spacing w:line="300" w:lineRule="auto"/>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1.支持接入</w:t>
            </w:r>
            <w:r>
              <w:rPr>
                <w:rFonts w:hint="eastAsia" w:ascii="宋体" w:hAnsi="宋体" w:cs="宋体"/>
                <w:i w:val="0"/>
                <w:iCs w:val="0"/>
                <w:color w:val="auto"/>
                <w:sz w:val="21"/>
                <w:szCs w:val="21"/>
                <w:highlight w:val="none"/>
                <w:u w:val="none"/>
                <w:lang w:val="en-US" w:eastAsia="zh-CN" w:bidi="ar"/>
              </w:rPr>
              <w:t>采购人现有</w:t>
            </w:r>
            <w:r>
              <w:rPr>
                <w:rFonts w:hint="eastAsia" w:ascii="宋体" w:hAnsi="宋体" w:eastAsia="宋体" w:cs="宋体"/>
                <w:i w:val="0"/>
                <w:iCs w:val="0"/>
                <w:color w:val="auto"/>
                <w:sz w:val="21"/>
                <w:szCs w:val="21"/>
                <w:highlight w:val="none"/>
                <w:u w:val="none"/>
                <w:lang w:val="en-US" w:eastAsia="zh-CN" w:bidi="ar"/>
              </w:rPr>
              <w:t>公安天网平台，实现一键报警系统前端设备音视频对讲的管理和天网监控点延伸；</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2.专线速率不低于4Mbps；</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3.网络传输链路稳定可靠，具备高可用性与抗干扰能力，保障7×24小时不间断运行；</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4.丢包率≤0.5%；</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5.线路具有全程可网管能力，负责提供接入侧所需的相关传输设备，并对相关线路及设备提供运维服务。</w:t>
            </w:r>
          </w:p>
        </w:tc>
      </w:tr>
      <w:tr w14:paraId="6D6B04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6" w:hRule="atLeast"/>
          <w:jc w:val="center"/>
        </w:trPr>
        <w:tc>
          <w:tcPr>
            <w:tcW w:w="1079" w:type="dxa"/>
            <w:tcBorders>
              <w:top w:val="single" w:color="auto" w:sz="4" w:space="0"/>
              <w:left w:val="single" w:color="auto" w:sz="4" w:space="0"/>
              <w:bottom w:val="single" w:color="auto" w:sz="4" w:space="0"/>
              <w:right w:val="single" w:color="auto" w:sz="4" w:space="0"/>
            </w:tcBorders>
            <w:noWrap w:val="0"/>
            <w:vAlign w:val="center"/>
          </w:tcPr>
          <w:p w14:paraId="07492497">
            <w:pPr>
              <w:keepNext w:val="0"/>
              <w:keepLines w:val="0"/>
              <w:pageBreakBefore w:val="0"/>
              <w:bidi w:val="0"/>
              <w:spacing w:line="30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317" w:type="dxa"/>
            <w:tcBorders>
              <w:top w:val="single" w:color="auto" w:sz="4" w:space="0"/>
              <w:left w:val="single" w:color="auto" w:sz="4" w:space="0"/>
              <w:bottom w:val="single" w:color="auto" w:sz="4" w:space="0"/>
              <w:right w:val="single" w:color="auto" w:sz="4" w:space="0"/>
            </w:tcBorders>
            <w:noWrap w:val="0"/>
            <w:vAlign w:val="center"/>
          </w:tcPr>
          <w:p w14:paraId="1337CC3E">
            <w:pPr>
              <w:keepNext w:val="0"/>
              <w:keepLines w:val="0"/>
              <w:pageBreakBefore w:val="0"/>
              <w:widowControl/>
              <w:suppressLineNumbers w:val="0"/>
              <w:bidi w:val="0"/>
              <w:spacing w:line="300" w:lineRule="auto"/>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云存储服务</w:t>
            </w:r>
          </w:p>
          <w:p w14:paraId="107D4021">
            <w:pPr>
              <w:keepNext w:val="0"/>
              <w:keepLines w:val="0"/>
              <w:pageBreakBefore w:val="0"/>
              <w:widowControl/>
              <w:suppressLineNumbers w:val="0"/>
              <w:bidi w:val="0"/>
              <w:spacing w:line="300" w:lineRule="auto"/>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点位</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122B2596">
            <w:pPr>
              <w:keepNext w:val="0"/>
              <w:keepLines w:val="0"/>
              <w:pageBreakBefore w:val="0"/>
              <w:widowControl/>
              <w:suppressLineNumbers w:val="0"/>
              <w:bidi w:val="0"/>
              <w:spacing w:line="30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1个</w:t>
            </w:r>
          </w:p>
        </w:tc>
        <w:tc>
          <w:tcPr>
            <w:tcW w:w="5588" w:type="dxa"/>
            <w:tcBorders>
              <w:top w:val="single" w:color="auto" w:sz="4" w:space="0"/>
              <w:left w:val="single" w:color="auto" w:sz="4" w:space="0"/>
              <w:bottom w:val="single" w:color="auto" w:sz="4" w:space="0"/>
              <w:right w:val="single" w:color="auto" w:sz="4" w:space="0"/>
            </w:tcBorders>
            <w:noWrap w:val="0"/>
            <w:vAlign w:val="bottom"/>
          </w:tcPr>
          <w:p w14:paraId="306718AB">
            <w:pPr>
              <w:keepNext w:val="0"/>
              <w:keepLines w:val="0"/>
              <w:pageBreakBefore w:val="0"/>
              <w:widowControl/>
              <w:suppressLineNumbers w:val="0"/>
              <w:bidi w:val="0"/>
              <w:spacing w:line="300" w:lineRule="auto"/>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1.对象存储提供对象存储接入能力，支持标准S3协议，对象上传、下载、删除、多版本等基本特性，多文件压缩、图片处理、生命周期等功能，同时也提供加密、合规保留等多种高级特性，本项目所有人脸、人体、车辆识别及云存储功能</w:t>
            </w:r>
            <w:r>
              <w:rPr>
                <w:rFonts w:hint="eastAsia" w:ascii="宋体" w:hAnsi="宋体" w:cs="宋体"/>
                <w:i w:val="0"/>
                <w:iCs w:val="0"/>
                <w:color w:val="auto"/>
                <w:sz w:val="21"/>
                <w:szCs w:val="21"/>
                <w:highlight w:val="none"/>
                <w:u w:val="none"/>
                <w:lang w:val="en-US" w:eastAsia="zh-CN" w:bidi="ar"/>
              </w:rPr>
              <w:t>，</w:t>
            </w:r>
            <w:r>
              <w:rPr>
                <w:color w:val="auto"/>
                <w:highlight w:val="none"/>
              </w:rPr>
              <w:t>具备自主知识产权或合法授权</w:t>
            </w:r>
            <w:r>
              <w:rPr>
                <w:rFonts w:hint="eastAsia" w:ascii="宋体" w:hAnsi="宋体" w:eastAsia="宋体" w:cs="宋体"/>
                <w:i w:val="0"/>
                <w:iCs w:val="0"/>
                <w:color w:val="auto"/>
                <w:sz w:val="21"/>
                <w:szCs w:val="21"/>
                <w:highlight w:val="none"/>
                <w:u w:val="none"/>
                <w:lang w:val="en-US" w:eastAsia="zh-CN" w:bidi="ar"/>
              </w:rPr>
              <w:t>，须与现有系统完全兼容、</w:t>
            </w:r>
            <w:r>
              <w:rPr>
                <w:rFonts w:hint="eastAsia" w:ascii="宋体" w:hAnsi="宋体" w:cs="宋体"/>
                <w:i w:val="0"/>
                <w:iCs w:val="0"/>
                <w:color w:val="auto"/>
                <w:sz w:val="21"/>
                <w:szCs w:val="21"/>
                <w:highlight w:val="none"/>
                <w:u w:val="none"/>
                <w:lang w:val="en-US" w:eastAsia="zh-CN" w:bidi="ar"/>
              </w:rPr>
              <w:t>可实现数据</w:t>
            </w:r>
            <w:r>
              <w:rPr>
                <w:rFonts w:hint="eastAsia" w:ascii="宋体" w:hAnsi="宋体" w:eastAsia="宋体" w:cs="宋体"/>
                <w:i w:val="0"/>
                <w:iCs w:val="0"/>
                <w:color w:val="auto"/>
                <w:sz w:val="21"/>
                <w:szCs w:val="21"/>
                <w:highlight w:val="none"/>
                <w:u w:val="none"/>
                <w:lang w:val="en-US" w:eastAsia="zh-CN" w:bidi="ar"/>
              </w:rPr>
              <w:t>对接、互联互通，保障云存储业务正常联动运行；</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2.存储集群，提供分部署存储能力保障数据安全性和完整性。弹性扩缩容，数据均衡算法，故障保护，数据恢复；</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3.支持符合GB/T28181协议的设备直连接入，接入后可进行接入注册、控制、预览、存储、回放；</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4.满足268路400W像素高清监控录像存储30天；</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5.支持用户节点配额和桶配额功能；</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6.支持数据合规保护功能(WORM)，用户可设置数据保护期，避免数据在保护期内被恶意改；</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7.支持对象存储数据回源，通过配置重定向或镜像回源从源站访问对应的数据。</w:t>
            </w:r>
          </w:p>
        </w:tc>
      </w:tr>
      <w:tr w14:paraId="519812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6" w:hRule="atLeast"/>
          <w:jc w:val="center"/>
        </w:trPr>
        <w:tc>
          <w:tcPr>
            <w:tcW w:w="1079" w:type="dxa"/>
            <w:tcBorders>
              <w:top w:val="single" w:color="auto" w:sz="4" w:space="0"/>
              <w:left w:val="single" w:color="auto" w:sz="4" w:space="0"/>
              <w:bottom w:val="single" w:color="auto" w:sz="4" w:space="0"/>
              <w:right w:val="single" w:color="auto" w:sz="4" w:space="0"/>
            </w:tcBorders>
            <w:noWrap w:val="0"/>
            <w:vAlign w:val="center"/>
          </w:tcPr>
          <w:p w14:paraId="31704D46">
            <w:pPr>
              <w:keepNext w:val="0"/>
              <w:keepLines w:val="0"/>
              <w:pageBreakBefore w:val="0"/>
              <w:bidi w:val="0"/>
              <w:spacing w:line="30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317" w:type="dxa"/>
            <w:tcBorders>
              <w:top w:val="single" w:color="auto" w:sz="4" w:space="0"/>
              <w:left w:val="single" w:color="auto" w:sz="4" w:space="0"/>
              <w:bottom w:val="single" w:color="auto" w:sz="4" w:space="0"/>
              <w:right w:val="single" w:color="auto" w:sz="4" w:space="0"/>
            </w:tcBorders>
            <w:noWrap w:val="0"/>
            <w:vAlign w:val="center"/>
          </w:tcPr>
          <w:p w14:paraId="6CE18190">
            <w:pPr>
              <w:keepNext w:val="0"/>
              <w:keepLines w:val="0"/>
              <w:pageBreakBefore w:val="0"/>
              <w:widowControl/>
              <w:suppressLineNumbers w:val="0"/>
              <w:bidi w:val="0"/>
              <w:spacing w:line="300" w:lineRule="auto"/>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高清摄像头接入服务点位</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3E1EFFA7">
            <w:pPr>
              <w:keepNext w:val="0"/>
              <w:keepLines w:val="0"/>
              <w:pageBreakBefore w:val="0"/>
              <w:widowControl/>
              <w:suppressLineNumbers w:val="0"/>
              <w:bidi w:val="0"/>
              <w:spacing w:line="30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268个</w:t>
            </w:r>
          </w:p>
        </w:tc>
        <w:tc>
          <w:tcPr>
            <w:tcW w:w="5588" w:type="dxa"/>
            <w:tcBorders>
              <w:top w:val="single" w:color="auto" w:sz="4" w:space="0"/>
              <w:left w:val="single" w:color="auto" w:sz="4" w:space="0"/>
              <w:bottom w:val="single" w:color="auto" w:sz="4" w:space="0"/>
              <w:right w:val="single" w:color="auto" w:sz="4" w:space="0"/>
            </w:tcBorders>
            <w:noWrap w:val="0"/>
            <w:vAlign w:val="bottom"/>
          </w:tcPr>
          <w:p w14:paraId="20396FF0">
            <w:pPr>
              <w:keepNext w:val="0"/>
              <w:keepLines w:val="0"/>
              <w:pageBreakBefore w:val="0"/>
              <w:widowControl/>
              <w:suppressLineNumbers w:val="0"/>
              <w:bidi w:val="0"/>
              <w:spacing w:line="300" w:lineRule="auto"/>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1.有效像素：400万，支持POE供电；</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2.镜头类型：变焦；</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3.接入标准：GB/T28181-2016、ONVIF、GA/T1400-2017；</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4.支持H.265编码算法；</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5.补光灯类型：智能红外补光；</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6.支持HTTPS安全Web访问；</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7.支持授权用户和口令访问，能进行弱口令检测与错误登录抑制，提升口令安全性；</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8.支持IP过滤，有效屏蔽非法IP地址访问；</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9.IP67防护等级；</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10.支持接入公安天网平台；</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11.本项目基于原有视频云存储系统接口接入，本项目摄像头采集的所有人脸、人体、车辆识别及云存储功能，须与现有系统完全兼容、</w:t>
            </w:r>
            <w:r>
              <w:rPr>
                <w:rFonts w:hint="eastAsia" w:ascii="宋体" w:hAnsi="宋体" w:cs="宋体"/>
                <w:i w:val="0"/>
                <w:iCs w:val="0"/>
                <w:color w:val="auto"/>
                <w:sz w:val="21"/>
                <w:szCs w:val="21"/>
                <w:highlight w:val="none"/>
                <w:u w:val="none"/>
                <w:lang w:val="en-US" w:eastAsia="zh-CN" w:bidi="ar"/>
              </w:rPr>
              <w:t>可实现数据</w:t>
            </w:r>
            <w:r>
              <w:rPr>
                <w:rFonts w:hint="eastAsia" w:ascii="宋体" w:hAnsi="宋体" w:eastAsia="宋体" w:cs="宋体"/>
                <w:i w:val="0"/>
                <w:iCs w:val="0"/>
                <w:color w:val="auto"/>
                <w:sz w:val="21"/>
                <w:szCs w:val="21"/>
                <w:highlight w:val="none"/>
                <w:u w:val="none"/>
                <w:lang w:val="en-US" w:eastAsia="zh-CN" w:bidi="ar"/>
              </w:rPr>
              <w:t>对接、互联互通，保障云存储业务正常联动运行。</w:t>
            </w:r>
          </w:p>
        </w:tc>
      </w:tr>
      <w:tr w14:paraId="796AD4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6" w:hRule="atLeast"/>
          <w:jc w:val="center"/>
        </w:trPr>
        <w:tc>
          <w:tcPr>
            <w:tcW w:w="1079" w:type="dxa"/>
            <w:tcBorders>
              <w:top w:val="single" w:color="auto" w:sz="4" w:space="0"/>
              <w:left w:val="single" w:color="auto" w:sz="4" w:space="0"/>
              <w:bottom w:val="single" w:color="auto" w:sz="4" w:space="0"/>
              <w:right w:val="single" w:color="auto" w:sz="4" w:space="0"/>
            </w:tcBorders>
            <w:noWrap w:val="0"/>
            <w:vAlign w:val="center"/>
          </w:tcPr>
          <w:p w14:paraId="3F790DB1">
            <w:pPr>
              <w:keepNext w:val="0"/>
              <w:keepLines w:val="0"/>
              <w:pageBreakBefore w:val="0"/>
              <w:bidi w:val="0"/>
              <w:spacing w:line="30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1317" w:type="dxa"/>
            <w:tcBorders>
              <w:top w:val="single" w:color="auto" w:sz="4" w:space="0"/>
              <w:left w:val="single" w:color="auto" w:sz="4" w:space="0"/>
              <w:bottom w:val="single" w:color="auto" w:sz="4" w:space="0"/>
              <w:right w:val="single" w:color="auto" w:sz="4" w:space="0"/>
            </w:tcBorders>
            <w:noWrap w:val="0"/>
            <w:vAlign w:val="center"/>
          </w:tcPr>
          <w:p w14:paraId="7A1D773F">
            <w:pPr>
              <w:keepNext w:val="0"/>
              <w:keepLines w:val="0"/>
              <w:pageBreakBefore w:val="0"/>
              <w:widowControl/>
              <w:suppressLineNumbers w:val="0"/>
              <w:bidi w:val="0"/>
              <w:spacing w:line="300" w:lineRule="auto"/>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智能音柱接入服务点位</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1218BFDC">
            <w:pPr>
              <w:keepNext w:val="0"/>
              <w:keepLines w:val="0"/>
              <w:pageBreakBefore w:val="0"/>
              <w:widowControl/>
              <w:suppressLineNumbers w:val="0"/>
              <w:bidi w:val="0"/>
              <w:spacing w:line="30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50个</w:t>
            </w:r>
          </w:p>
        </w:tc>
        <w:tc>
          <w:tcPr>
            <w:tcW w:w="5588" w:type="dxa"/>
            <w:tcBorders>
              <w:top w:val="single" w:color="auto" w:sz="4" w:space="0"/>
              <w:left w:val="single" w:color="auto" w:sz="4" w:space="0"/>
              <w:bottom w:val="single" w:color="auto" w:sz="4" w:space="0"/>
              <w:right w:val="single" w:color="auto" w:sz="4" w:space="0"/>
            </w:tcBorders>
            <w:noWrap w:val="0"/>
            <w:vAlign w:val="bottom"/>
          </w:tcPr>
          <w:p w14:paraId="1BC8D302">
            <w:pPr>
              <w:keepNext w:val="0"/>
              <w:keepLines w:val="0"/>
              <w:pageBreakBefore w:val="0"/>
              <w:widowControl/>
              <w:suppressLineNumbers w:val="0"/>
              <w:bidi w:val="0"/>
              <w:spacing w:line="300" w:lineRule="auto"/>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1.额定功率：20W；</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2.峰值功率：40W；</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3.频率响应：150Hz~18kHz（±3dB）；</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4.灵敏度：92dB（1W/1m）；</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5.最大声压级：105dB（1m）；</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6.信噪比：≥85dB（A加权）；</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7.供电方式：IEEE802.3af标准POE供电，兼容802.3at标准；</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8.工作电压：44V~57VDC；</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9.最大功耗：≤15W；</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10.待机功耗：≤1W；</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11.音频输入接口：1×RJ45网络接口（音频+供电）、1×RCA莲花头模拟音频输入；</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12.音频编码格式：G.711A/G.711U/G.729，兼容主流安防平台；</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13.防护等级：IP65；</w:t>
            </w:r>
          </w:p>
        </w:tc>
      </w:tr>
      <w:tr w14:paraId="1112F0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6" w:hRule="atLeast"/>
          <w:jc w:val="center"/>
        </w:trPr>
        <w:tc>
          <w:tcPr>
            <w:tcW w:w="8884" w:type="dxa"/>
            <w:gridSpan w:val="4"/>
            <w:tcBorders>
              <w:top w:val="single" w:color="auto" w:sz="4" w:space="0"/>
              <w:left w:val="single" w:color="auto" w:sz="4" w:space="0"/>
              <w:bottom w:val="single" w:color="auto" w:sz="4" w:space="0"/>
              <w:right w:val="single" w:color="auto" w:sz="4" w:space="0"/>
            </w:tcBorders>
            <w:noWrap w:val="0"/>
            <w:vAlign w:val="center"/>
          </w:tcPr>
          <w:p w14:paraId="4A75403E">
            <w:pPr>
              <w:keepNext w:val="0"/>
              <w:keepLines w:val="0"/>
              <w:pageBreakBefore w:val="0"/>
              <w:bidi w:val="0"/>
              <w:spacing w:line="30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其他详见采购需求。</w:t>
            </w:r>
          </w:p>
        </w:tc>
      </w:tr>
      <w:tr w14:paraId="4B1EBB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02" w:hRule="atLeast"/>
          <w:jc w:val="center"/>
        </w:trPr>
        <w:tc>
          <w:tcPr>
            <w:tcW w:w="8884" w:type="dxa"/>
            <w:gridSpan w:val="4"/>
            <w:tcBorders>
              <w:top w:val="single" w:color="auto" w:sz="4" w:space="0"/>
              <w:left w:val="single" w:color="auto" w:sz="4" w:space="0"/>
              <w:right w:val="single" w:color="auto" w:sz="4" w:space="0"/>
            </w:tcBorders>
            <w:shd w:val="clear" w:color="auto" w:fill="auto"/>
            <w:noWrap w:val="0"/>
            <w:vAlign w:val="top"/>
          </w:tcPr>
          <w:p w14:paraId="73D6DA3C">
            <w:pPr>
              <w:keepNext w:val="0"/>
              <w:keepLines w:val="0"/>
              <w:pageBreakBefore w:val="0"/>
              <w:bidi w:val="0"/>
              <w:spacing w:line="30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1.合同签订期：自成交通知书发出之日起30日内。</w:t>
            </w:r>
          </w:p>
          <w:p w14:paraId="4F3A2C56">
            <w:pPr>
              <w:keepNext w:val="0"/>
              <w:keepLines w:val="0"/>
              <w:pageBreakBefore w:val="0"/>
              <w:bidi w:val="0"/>
              <w:spacing w:line="30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w:t>
            </w:r>
            <w:r>
              <w:rPr>
                <w:rFonts w:hint="eastAsia" w:ascii="宋体" w:hAnsi="宋体" w:cs="宋体"/>
                <w:color w:val="auto"/>
                <w:sz w:val="21"/>
                <w:szCs w:val="21"/>
                <w:highlight w:val="none"/>
                <w:vertAlign w:val="baseline"/>
                <w:lang w:val="en-US" w:eastAsia="zh-CN"/>
              </w:rPr>
              <w:t>运维</w:t>
            </w:r>
            <w:r>
              <w:rPr>
                <w:rFonts w:hint="eastAsia" w:ascii="宋体" w:hAnsi="宋体" w:eastAsia="宋体" w:cs="宋体"/>
                <w:color w:val="auto"/>
                <w:sz w:val="21"/>
                <w:szCs w:val="21"/>
                <w:highlight w:val="none"/>
                <w:vertAlign w:val="baseline"/>
                <w:lang w:val="en-US" w:eastAsia="zh-CN"/>
              </w:rPr>
              <w:t>服务期：</w:t>
            </w:r>
            <w:r>
              <w:rPr>
                <w:rFonts w:hint="eastAsia" w:ascii="宋体" w:hAnsi="宋体" w:cs="宋体"/>
                <w:color w:val="auto"/>
                <w:sz w:val="21"/>
                <w:szCs w:val="21"/>
                <w:highlight w:val="none"/>
                <w:vertAlign w:val="baseline"/>
                <w:lang w:val="en-US" w:eastAsia="zh-CN"/>
              </w:rPr>
              <w:t>自合同签订之日起计2年</w:t>
            </w:r>
            <w:r>
              <w:rPr>
                <w:rFonts w:hint="eastAsia" w:ascii="宋体" w:hAnsi="宋体" w:eastAsia="宋体" w:cs="宋体"/>
                <w:color w:val="auto"/>
                <w:sz w:val="21"/>
                <w:szCs w:val="21"/>
                <w:highlight w:val="none"/>
                <w:vertAlign w:val="baseline"/>
                <w:lang w:val="en-US" w:eastAsia="zh-CN"/>
              </w:rPr>
              <w:t>。</w:t>
            </w:r>
          </w:p>
        </w:tc>
      </w:tr>
    </w:tbl>
    <w:p w14:paraId="5205AE06">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本项目不接受联合体。</w:t>
      </w:r>
    </w:p>
    <w:p w14:paraId="5AD88124">
      <w:pPr>
        <w:spacing w:line="360" w:lineRule="auto"/>
        <w:ind w:firstLine="310"/>
        <w:rPr>
          <w:rFonts w:hint="eastAsia" w:ascii="宋体" w:hAnsi="宋体" w:eastAsia="宋体" w:cs="宋体"/>
          <w:b/>
          <w:color w:val="auto"/>
          <w:szCs w:val="21"/>
          <w:highlight w:val="none"/>
        </w:rPr>
      </w:pPr>
      <w:bookmarkStart w:id="8" w:name="_Toc35393799"/>
      <w:bookmarkStart w:id="9" w:name="_Toc35393630"/>
      <w:bookmarkStart w:id="10" w:name="_Toc28359090"/>
      <w:bookmarkStart w:id="11" w:name="_Toc44229879"/>
      <w:bookmarkStart w:id="12" w:name="_Toc71365906"/>
      <w:bookmarkStart w:id="13" w:name="_Toc28359013"/>
      <w:r>
        <w:rPr>
          <w:rFonts w:hint="eastAsia" w:ascii="宋体" w:hAnsi="宋体" w:eastAsia="宋体" w:cs="宋体"/>
          <w:b/>
          <w:color w:val="auto"/>
          <w:szCs w:val="21"/>
          <w:highlight w:val="none"/>
        </w:rPr>
        <w:t>二、申请人的资格条件：</w:t>
      </w:r>
      <w:bookmarkEnd w:id="7"/>
      <w:bookmarkEnd w:id="8"/>
      <w:bookmarkEnd w:id="9"/>
      <w:bookmarkEnd w:id="10"/>
      <w:bookmarkEnd w:id="11"/>
      <w:bookmarkEnd w:id="12"/>
    </w:p>
    <w:p w14:paraId="5059D151">
      <w:pPr>
        <w:spacing w:line="360" w:lineRule="auto"/>
        <w:ind w:firstLine="420"/>
        <w:rPr>
          <w:rFonts w:hint="eastAsia" w:ascii="宋体" w:hAnsi="宋体" w:eastAsia="宋体" w:cs="宋体"/>
          <w:color w:val="auto"/>
          <w:szCs w:val="21"/>
          <w:highlight w:val="none"/>
        </w:rPr>
      </w:pPr>
      <w:bookmarkStart w:id="14" w:name="_Toc28359014"/>
      <w:bookmarkStart w:id="15" w:name="_Hlk51746371"/>
      <w:bookmarkStart w:id="16" w:name="_Toc35393800"/>
      <w:bookmarkStart w:id="17" w:name="_Toc44229880"/>
      <w:bookmarkStart w:id="18" w:name="_Toc35393631"/>
      <w:bookmarkStart w:id="19" w:name="_Toc28359091"/>
      <w:r>
        <w:rPr>
          <w:rFonts w:hint="eastAsia" w:ascii="宋体" w:hAnsi="宋体" w:eastAsia="宋体" w:cs="宋体"/>
          <w:color w:val="auto"/>
          <w:szCs w:val="21"/>
          <w:highlight w:val="none"/>
        </w:rPr>
        <w:t>1.满足《中华人民共和国政府采购法》第二十二条规定；</w:t>
      </w:r>
    </w:p>
    <w:p w14:paraId="63B73BF1">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2.落实</w:t>
      </w:r>
      <w:r>
        <w:rPr>
          <w:rFonts w:hint="eastAsia" w:ascii="宋体" w:hAnsi="宋体" w:eastAsia="宋体" w:cs="宋体"/>
          <w:color w:val="auto"/>
          <w:szCs w:val="21"/>
          <w:highlight w:val="none"/>
          <w:lang w:eastAsia="zh-CN"/>
        </w:rPr>
        <w:t>采购</w:t>
      </w:r>
      <w:r>
        <w:rPr>
          <w:rFonts w:hint="eastAsia" w:ascii="宋体" w:hAnsi="宋体" w:eastAsia="宋体" w:cs="宋体"/>
          <w:color w:val="auto"/>
          <w:szCs w:val="21"/>
          <w:highlight w:val="none"/>
        </w:rPr>
        <w:t>政策需满足的资格要求：</w:t>
      </w:r>
      <w:r>
        <w:rPr>
          <w:rFonts w:hint="eastAsia" w:ascii="宋体" w:hAnsi="宋体" w:cs="宋体"/>
          <w:color w:val="auto"/>
          <w:szCs w:val="21"/>
          <w:highlight w:val="none"/>
          <w:lang w:val="en-US" w:eastAsia="zh-CN"/>
        </w:rPr>
        <w:t>无</w:t>
      </w:r>
      <w:r>
        <w:rPr>
          <w:rFonts w:hint="eastAsia" w:ascii="宋体" w:hAnsi="宋体" w:eastAsia="宋体" w:cs="宋体"/>
          <w:color w:val="auto"/>
          <w:szCs w:val="21"/>
          <w:highlight w:val="none"/>
          <w:lang w:eastAsia="zh-CN"/>
        </w:rPr>
        <w:t>；</w:t>
      </w:r>
    </w:p>
    <w:p w14:paraId="31D22BD1">
      <w:pPr>
        <w:spacing w:line="360" w:lineRule="auto"/>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3.本项目的特定资格要求：</w:t>
      </w:r>
      <w:bookmarkEnd w:id="13"/>
      <w:r>
        <w:rPr>
          <w:rFonts w:hint="eastAsia" w:ascii="宋体" w:hAnsi="宋体" w:cs="宋体"/>
          <w:color w:val="auto"/>
          <w:szCs w:val="21"/>
          <w:highlight w:val="none"/>
          <w:lang w:val="en-US" w:eastAsia="zh-CN"/>
        </w:rPr>
        <w:t>无</w:t>
      </w:r>
      <w:r>
        <w:rPr>
          <w:rFonts w:hint="eastAsia" w:ascii="宋体" w:hAnsi="宋体" w:eastAsia="宋体" w:cs="宋体"/>
          <w:color w:val="auto"/>
          <w:szCs w:val="21"/>
          <w:highlight w:val="none"/>
          <w:lang w:eastAsia="zh-CN"/>
        </w:rPr>
        <w:t>。</w:t>
      </w:r>
      <w:bookmarkStart w:id="142" w:name="_GoBack"/>
      <w:bookmarkEnd w:id="142"/>
    </w:p>
    <w:p w14:paraId="19E7F7D8">
      <w:pPr>
        <w:spacing w:line="360" w:lineRule="auto"/>
        <w:ind w:firstLine="310"/>
        <w:rPr>
          <w:rFonts w:hint="eastAsia" w:ascii="宋体" w:hAnsi="宋体" w:eastAsia="宋体" w:cs="宋体"/>
          <w:b/>
          <w:color w:val="auto"/>
          <w:szCs w:val="21"/>
          <w:highlight w:val="none"/>
        </w:rPr>
      </w:pPr>
      <w:bookmarkStart w:id="20" w:name="_Toc71365907"/>
      <w:r>
        <w:rPr>
          <w:rFonts w:hint="eastAsia" w:ascii="宋体" w:hAnsi="宋体" w:eastAsia="宋体" w:cs="宋体"/>
          <w:b/>
          <w:color w:val="auto"/>
          <w:szCs w:val="21"/>
          <w:highlight w:val="none"/>
        </w:rPr>
        <w:t>三、获取竞争性磋商文件</w:t>
      </w:r>
      <w:bookmarkEnd w:id="14"/>
      <w:bookmarkEnd w:id="15"/>
      <w:bookmarkEnd w:id="16"/>
      <w:bookmarkEnd w:id="17"/>
      <w:bookmarkEnd w:id="18"/>
      <w:bookmarkEnd w:id="19"/>
    </w:p>
    <w:p w14:paraId="492D1F5F">
      <w:pPr>
        <w:spacing w:line="360" w:lineRule="auto"/>
        <w:ind w:firstLine="420"/>
        <w:rPr>
          <w:rFonts w:hint="eastAsia" w:ascii="宋体" w:hAnsi="宋体" w:eastAsia="宋体" w:cs="宋体"/>
          <w:bCs/>
          <w:color w:val="auto"/>
          <w:szCs w:val="21"/>
          <w:highlight w:val="none"/>
        </w:rPr>
      </w:pPr>
      <w:bookmarkStart w:id="21" w:name="_Toc28359015"/>
      <w:bookmarkStart w:id="22" w:name="_Toc44229881"/>
      <w:bookmarkStart w:id="23" w:name="_Toc28359092"/>
      <w:bookmarkStart w:id="24" w:name="_Toc35393801"/>
      <w:bookmarkStart w:id="25" w:name="_Toc35393632"/>
      <w:r>
        <w:rPr>
          <w:rFonts w:hint="eastAsia" w:ascii="宋体" w:hAnsi="宋体" w:eastAsia="宋体" w:cs="宋体"/>
          <w:bCs/>
          <w:color w:val="auto"/>
          <w:szCs w:val="21"/>
          <w:highlight w:val="none"/>
        </w:rPr>
        <w:t>时间：</w:t>
      </w:r>
      <w:r>
        <w:rPr>
          <w:rFonts w:hint="eastAsia" w:ascii="宋体" w:hAnsi="宋体" w:cs="宋体"/>
          <w:bCs/>
          <w:color w:val="auto"/>
          <w:szCs w:val="21"/>
          <w:highlight w:val="none"/>
          <w:lang w:eastAsia="zh-CN"/>
        </w:rPr>
        <w:t>2026年</w:t>
      </w:r>
      <w:r>
        <w:rPr>
          <w:rFonts w:hint="eastAsia" w:ascii="宋体" w:hAnsi="宋体" w:cs="宋体"/>
          <w:bCs/>
          <w:color w:val="auto"/>
          <w:szCs w:val="21"/>
          <w:highlight w:val="none"/>
          <w:lang w:val="en-US" w:eastAsia="zh-CN"/>
        </w:rPr>
        <w:t>7</w:t>
      </w:r>
      <w:r>
        <w:rPr>
          <w:rFonts w:hint="eastAsia" w:ascii="宋体" w:hAnsi="宋体" w:cs="宋体"/>
          <w:bCs/>
          <w:color w:val="auto"/>
          <w:szCs w:val="21"/>
          <w:highlight w:val="none"/>
          <w:lang w:eastAsia="zh-CN"/>
        </w:rPr>
        <w:t>月</w:t>
      </w:r>
      <w:r>
        <w:rPr>
          <w:rFonts w:hint="eastAsia" w:ascii="宋体" w:hAnsi="宋体" w:cs="宋体"/>
          <w:bCs/>
          <w:color w:val="auto"/>
          <w:szCs w:val="21"/>
          <w:highlight w:val="none"/>
          <w:lang w:val="en-US" w:eastAsia="zh-CN"/>
        </w:rPr>
        <w:t>17</w:t>
      </w:r>
      <w:r>
        <w:rPr>
          <w:rFonts w:hint="eastAsia" w:ascii="宋体" w:hAnsi="宋体" w:eastAsia="宋体" w:cs="宋体"/>
          <w:bCs/>
          <w:color w:val="auto"/>
          <w:szCs w:val="21"/>
          <w:highlight w:val="none"/>
        </w:rPr>
        <w:t>日</w:t>
      </w:r>
      <w:r>
        <w:rPr>
          <w:rFonts w:hint="eastAsia" w:ascii="宋体" w:hAnsi="宋体" w:eastAsia="宋体" w:cs="宋体"/>
          <w:color w:val="auto"/>
          <w:szCs w:val="21"/>
          <w:highlight w:val="none"/>
        </w:rPr>
        <w:t>起</w:t>
      </w:r>
      <w:r>
        <w:rPr>
          <w:rFonts w:hint="eastAsia" w:ascii="宋体" w:hAnsi="宋体" w:eastAsia="宋体" w:cs="宋体"/>
          <w:bCs/>
          <w:color w:val="auto"/>
          <w:szCs w:val="21"/>
          <w:highlight w:val="none"/>
        </w:rPr>
        <w:t>至202</w:t>
      </w:r>
      <w:r>
        <w:rPr>
          <w:rFonts w:hint="eastAsia" w:ascii="宋体" w:hAnsi="宋体" w:eastAsia="宋体" w:cs="宋体"/>
          <w:bCs/>
          <w:color w:val="auto"/>
          <w:szCs w:val="21"/>
          <w:highlight w:val="none"/>
          <w:lang w:val="en-US" w:eastAsia="zh-CN"/>
        </w:rPr>
        <w:t>6</w:t>
      </w:r>
      <w:r>
        <w:rPr>
          <w:rFonts w:hint="eastAsia" w:ascii="宋体" w:hAnsi="宋体" w:eastAsia="宋体" w:cs="宋体"/>
          <w:bCs/>
          <w:color w:val="auto"/>
          <w:szCs w:val="21"/>
          <w:highlight w:val="none"/>
        </w:rPr>
        <w:t>年</w:t>
      </w:r>
      <w:r>
        <w:rPr>
          <w:rFonts w:hint="eastAsia" w:ascii="宋体" w:hAnsi="宋体" w:cs="宋体"/>
          <w:bCs/>
          <w:color w:val="auto"/>
          <w:szCs w:val="21"/>
          <w:highlight w:val="none"/>
          <w:lang w:val="en-US" w:eastAsia="zh-CN"/>
        </w:rPr>
        <w:t>7</w:t>
      </w:r>
      <w:r>
        <w:rPr>
          <w:rFonts w:hint="eastAsia" w:ascii="宋体" w:hAnsi="宋体" w:eastAsia="宋体" w:cs="宋体"/>
          <w:bCs/>
          <w:color w:val="auto"/>
          <w:szCs w:val="21"/>
          <w:highlight w:val="none"/>
        </w:rPr>
        <w:t>月</w:t>
      </w:r>
      <w:r>
        <w:rPr>
          <w:rFonts w:hint="eastAsia" w:ascii="宋体" w:hAnsi="宋体" w:cs="宋体"/>
          <w:bCs/>
          <w:color w:val="auto"/>
          <w:szCs w:val="21"/>
          <w:highlight w:val="none"/>
          <w:lang w:val="en-US" w:eastAsia="zh-CN"/>
        </w:rPr>
        <w:t>27</w:t>
      </w:r>
      <w:r>
        <w:rPr>
          <w:rFonts w:hint="eastAsia" w:ascii="宋体" w:hAnsi="宋体" w:eastAsia="宋体" w:cs="宋体"/>
          <w:bCs/>
          <w:color w:val="auto"/>
          <w:szCs w:val="21"/>
          <w:highlight w:val="none"/>
        </w:rPr>
        <w:t>日，每天</w:t>
      </w:r>
      <w:r>
        <w:rPr>
          <w:rFonts w:hint="eastAsia" w:ascii="宋体" w:hAnsi="宋体" w:cs="宋体"/>
          <w:bCs/>
          <w:color w:val="auto"/>
          <w:szCs w:val="21"/>
          <w:highlight w:val="none"/>
          <w:lang w:val="en-US" w:eastAsia="zh-CN"/>
        </w:rPr>
        <w:t>0</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00至</w:t>
      </w:r>
      <w:r>
        <w:rPr>
          <w:rFonts w:hint="eastAsia" w:ascii="宋体" w:hAnsi="宋体" w:cs="宋体"/>
          <w:bCs/>
          <w:color w:val="auto"/>
          <w:szCs w:val="21"/>
          <w:highlight w:val="none"/>
          <w:lang w:val="en-US" w:eastAsia="zh-CN"/>
        </w:rPr>
        <w:t>24</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00（北京时间，法定节假日除外）</w:t>
      </w:r>
    </w:p>
    <w:p w14:paraId="00A1B0D7">
      <w:pPr>
        <w:spacing w:line="360" w:lineRule="auto"/>
        <w:ind w:firstLine="420"/>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地点：</w:t>
      </w:r>
      <w:r>
        <w:rPr>
          <w:rFonts w:hint="eastAsia" w:ascii="宋体" w:hAnsi="宋体" w:cs="Arial"/>
          <w:color w:val="auto"/>
          <w:szCs w:val="21"/>
          <w:highlight w:val="none"/>
        </w:rPr>
        <w:t>云之龙咨询集团有限公司网</w:t>
      </w:r>
      <w:r>
        <w:rPr>
          <w:rFonts w:hint="eastAsia" w:ascii="宋体" w:hAnsi="宋体" w:cs="Arial"/>
          <w:color w:val="auto"/>
          <w:szCs w:val="21"/>
          <w:highlight w:val="none"/>
          <w:lang w:eastAsia="zh-CN"/>
        </w:rPr>
        <w:t>（https://www.yzljt.cn/）</w:t>
      </w:r>
    </w:p>
    <w:p w14:paraId="6793B405">
      <w:pPr>
        <w:spacing w:line="360" w:lineRule="auto"/>
        <w:ind w:firstLine="42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方式：</w:t>
      </w:r>
      <w:r>
        <w:rPr>
          <w:rFonts w:hint="eastAsia" w:ascii="宋体" w:hAnsi="宋体" w:cs="宋体"/>
          <w:color w:val="auto"/>
          <w:szCs w:val="21"/>
          <w:highlight w:val="none"/>
          <w:lang w:val="en-US" w:eastAsia="zh-CN"/>
        </w:rPr>
        <w:t>公告附件下载</w:t>
      </w:r>
      <w:r>
        <w:rPr>
          <w:rFonts w:hint="eastAsia" w:ascii="宋体" w:hAnsi="宋体" w:eastAsia="宋体" w:cs="宋体"/>
          <w:color w:val="auto"/>
          <w:szCs w:val="21"/>
          <w:highlight w:val="none"/>
        </w:rPr>
        <w:t>。</w:t>
      </w:r>
    </w:p>
    <w:p w14:paraId="7D93C679">
      <w:pPr>
        <w:spacing w:line="360" w:lineRule="auto"/>
        <w:ind w:firstLine="42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售价：</w:t>
      </w:r>
      <w:r>
        <w:rPr>
          <w:rFonts w:hint="eastAsia" w:ascii="宋体" w:hAnsi="宋体" w:cs="宋体"/>
          <w:color w:val="auto"/>
          <w:szCs w:val="21"/>
          <w:highlight w:val="none"/>
          <w:lang w:val="en-US" w:eastAsia="zh-CN"/>
        </w:rPr>
        <w:t>免费下载</w:t>
      </w:r>
      <w:r>
        <w:rPr>
          <w:rFonts w:hint="eastAsia" w:ascii="宋体" w:hAnsi="宋体" w:eastAsia="宋体" w:cs="宋体"/>
          <w:color w:val="auto"/>
          <w:szCs w:val="21"/>
          <w:highlight w:val="none"/>
        </w:rPr>
        <w:t>。</w:t>
      </w:r>
    </w:p>
    <w:p w14:paraId="2ACAD481">
      <w:pPr>
        <w:spacing w:line="360" w:lineRule="auto"/>
        <w:ind w:firstLine="310"/>
        <w:rPr>
          <w:rFonts w:hint="eastAsia" w:ascii="宋体" w:hAnsi="宋体" w:eastAsia="宋体" w:cs="宋体"/>
          <w:b/>
          <w:color w:val="auto"/>
          <w:szCs w:val="21"/>
          <w:highlight w:val="none"/>
        </w:rPr>
      </w:pPr>
      <w:bookmarkStart w:id="26" w:name="_Toc71365908"/>
      <w:r>
        <w:rPr>
          <w:rFonts w:hint="eastAsia" w:ascii="宋体" w:hAnsi="宋体" w:eastAsia="宋体" w:cs="宋体"/>
          <w:b/>
          <w:color w:val="auto"/>
          <w:szCs w:val="21"/>
          <w:highlight w:val="none"/>
        </w:rPr>
        <w:t>四、响应文件提交</w:t>
      </w:r>
      <w:bookmarkEnd w:id="20"/>
      <w:bookmarkEnd w:id="21"/>
      <w:bookmarkEnd w:id="22"/>
      <w:bookmarkEnd w:id="23"/>
      <w:bookmarkEnd w:id="24"/>
      <w:bookmarkEnd w:id="25"/>
    </w:p>
    <w:p w14:paraId="3B9BB580">
      <w:pPr>
        <w:spacing w:line="360" w:lineRule="auto"/>
        <w:ind w:firstLine="420"/>
        <w:rPr>
          <w:rFonts w:hint="eastAsia" w:ascii="宋体" w:hAnsi="宋体" w:eastAsia="宋体" w:cs="宋体"/>
          <w:bCs/>
          <w:color w:val="auto"/>
          <w:szCs w:val="21"/>
          <w:highlight w:val="none"/>
        </w:rPr>
      </w:pPr>
      <w:bookmarkStart w:id="27" w:name="_Toc28359016"/>
      <w:bookmarkStart w:id="28" w:name="_Toc71365909"/>
      <w:bookmarkStart w:id="29" w:name="_Toc28359093"/>
      <w:bookmarkStart w:id="30" w:name="_Toc44229882"/>
      <w:bookmarkStart w:id="31" w:name="_Toc35393633"/>
      <w:bookmarkStart w:id="32" w:name="_Toc35393802"/>
      <w:r>
        <w:rPr>
          <w:rFonts w:hint="eastAsia" w:ascii="宋体" w:hAnsi="宋体" w:eastAsia="宋体" w:cs="宋体"/>
          <w:color w:val="auto"/>
          <w:szCs w:val="21"/>
          <w:highlight w:val="none"/>
        </w:rPr>
        <w:t>截止时间：</w:t>
      </w:r>
      <w:r>
        <w:rPr>
          <w:rFonts w:hint="eastAsia" w:ascii="宋体" w:hAnsi="宋体" w:eastAsia="宋体" w:cs="宋体"/>
          <w:color w:val="auto"/>
          <w:szCs w:val="21"/>
          <w:highlight w:val="none"/>
          <w:u w:val="single"/>
        </w:rPr>
        <w:t>202</w:t>
      </w:r>
      <w:r>
        <w:rPr>
          <w:rFonts w:hint="eastAsia" w:ascii="宋体" w:hAnsi="宋体" w:eastAsia="宋体" w:cs="宋体"/>
          <w:color w:val="auto"/>
          <w:szCs w:val="21"/>
          <w:highlight w:val="none"/>
          <w:u w:val="single"/>
          <w:lang w:val="en-US" w:eastAsia="zh-CN"/>
        </w:rPr>
        <w:t>6</w:t>
      </w:r>
      <w:r>
        <w:rPr>
          <w:rFonts w:hint="eastAsia" w:ascii="宋体" w:hAnsi="宋体" w:eastAsia="宋体" w:cs="宋体"/>
          <w:color w:val="auto"/>
          <w:szCs w:val="21"/>
          <w:highlight w:val="none"/>
          <w:u w:val="single"/>
        </w:rPr>
        <w:t>年</w:t>
      </w:r>
      <w:r>
        <w:rPr>
          <w:rFonts w:hint="eastAsia" w:ascii="宋体" w:hAnsi="宋体" w:cs="宋体"/>
          <w:color w:val="auto"/>
          <w:szCs w:val="21"/>
          <w:highlight w:val="none"/>
          <w:u w:val="single"/>
          <w:lang w:val="en-US" w:eastAsia="zh-CN"/>
        </w:rPr>
        <w:t>7</w:t>
      </w:r>
      <w:r>
        <w:rPr>
          <w:rFonts w:hint="eastAsia" w:ascii="宋体" w:hAnsi="宋体" w:eastAsia="宋体" w:cs="宋体"/>
          <w:color w:val="auto"/>
          <w:szCs w:val="21"/>
          <w:highlight w:val="none"/>
          <w:u w:val="single"/>
        </w:rPr>
        <w:t>月</w:t>
      </w:r>
      <w:r>
        <w:rPr>
          <w:rFonts w:hint="eastAsia" w:ascii="宋体" w:hAnsi="宋体" w:cs="宋体"/>
          <w:color w:val="auto"/>
          <w:szCs w:val="21"/>
          <w:highlight w:val="none"/>
          <w:u w:val="single"/>
          <w:lang w:val="en-US" w:eastAsia="zh-CN"/>
        </w:rPr>
        <w:t>28</w:t>
      </w:r>
      <w:r>
        <w:rPr>
          <w:rFonts w:hint="eastAsia" w:ascii="宋体" w:hAnsi="宋体" w:eastAsia="宋体" w:cs="宋体"/>
          <w:color w:val="auto"/>
          <w:szCs w:val="21"/>
          <w:highlight w:val="none"/>
          <w:u w:val="single"/>
        </w:rPr>
        <w:t>日</w:t>
      </w:r>
      <w:r>
        <w:rPr>
          <w:rFonts w:hint="eastAsia" w:ascii="宋体" w:hAnsi="宋体" w:cs="宋体"/>
          <w:color w:val="auto"/>
          <w:szCs w:val="21"/>
          <w:highlight w:val="none"/>
          <w:u w:val="single"/>
          <w:lang w:val="en-US" w:eastAsia="zh-CN"/>
        </w:rPr>
        <w:t>9</w:t>
      </w:r>
      <w:r>
        <w:rPr>
          <w:rFonts w:hint="eastAsia" w:ascii="宋体" w:hAnsi="宋体" w:eastAsia="宋体" w:cs="宋体"/>
          <w:color w:val="auto"/>
          <w:szCs w:val="21"/>
          <w:highlight w:val="none"/>
          <w:u w:val="single"/>
        </w:rPr>
        <w:t>时</w:t>
      </w:r>
      <w:r>
        <w:rPr>
          <w:rFonts w:hint="eastAsia" w:ascii="宋体" w:hAnsi="宋体" w:eastAsia="宋体" w:cs="宋体"/>
          <w:color w:val="auto"/>
          <w:szCs w:val="21"/>
          <w:highlight w:val="none"/>
          <w:u w:val="single"/>
          <w:lang w:val="en-US" w:eastAsia="zh-CN"/>
        </w:rPr>
        <w:t>00</w:t>
      </w:r>
      <w:r>
        <w:rPr>
          <w:rFonts w:hint="eastAsia" w:ascii="宋体" w:hAnsi="宋体" w:eastAsia="宋体" w:cs="宋体"/>
          <w:color w:val="auto"/>
          <w:szCs w:val="21"/>
          <w:highlight w:val="none"/>
          <w:u w:val="single"/>
        </w:rPr>
        <w:t>分</w:t>
      </w:r>
      <w:r>
        <w:rPr>
          <w:rFonts w:hint="eastAsia" w:ascii="宋体" w:hAnsi="宋体" w:eastAsia="宋体" w:cs="宋体"/>
          <w:bCs/>
          <w:color w:val="auto"/>
          <w:szCs w:val="21"/>
          <w:highlight w:val="none"/>
        </w:rPr>
        <w:t>（北京时间）</w:t>
      </w:r>
    </w:p>
    <w:p w14:paraId="0EB69D78">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地点：</w:t>
      </w:r>
      <w:r>
        <w:rPr>
          <w:rFonts w:hint="eastAsia" w:ascii="宋体" w:hAnsi="宋体" w:cs="宋体"/>
          <w:bCs/>
          <w:color w:val="auto"/>
          <w:szCs w:val="21"/>
          <w:highlight w:val="none"/>
          <w:lang w:val="en-US" w:eastAsia="zh-CN"/>
        </w:rPr>
        <w:t>云之龙咨询集团有限公司藤县分公司</w:t>
      </w:r>
      <w:r>
        <w:rPr>
          <w:rFonts w:hint="eastAsia" w:ascii="宋体" w:hAnsi="宋体" w:eastAsia="宋体" w:cs="宋体"/>
          <w:bCs/>
          <w:color w:val="auto"/>
          <w:szCs w:val="21"/>
          <w:highlight w:val="none"/>
          <w:lang w:val="en-US" w:eastAsia="zh-CN"/>
        </w:rPr>
        <w:t>（地址：</w:t>
      </w:r>
      <w:r>
        <w:rPr>
          <w:rFonts w:hint="eastAsia" w:ascii="宋体" w:hAnsi="宋体" w:cs="宋体"/>
          <w:bCs/>
          <w:color w:val="auto"/>
          <w:szCs w:val="21"/>
          <w:highlight w:val="none"/>
          <w:lang w:val="en-US" w:eastAsia="zh-CN"/>
        </w:rPr>
        <w:t>藤县河东安泰五街62号</w:t>
      </w:r>
      <w:r>
        <w:rPr>
          <w:rFonts w:hint="eastAsia" w:ascii="宋体" w:hAnsi="宋体" w:eastAsia="宋体" w:cs="宋体"/>
          <w:bCs/>
          <w:color w:val="auto"/>
          <w:szCs w:val="21"/>
          <w:highlight w:val="none"/>
          <w:lang w:val="en-US" w:eastAsia="zh-CN"/>
        </w:rPr>
        <w:t>）</w:t>
      </w:r>
    </w:p>
    <w:p w14:paraId="6EF5EA28">
      <w:pPr>
        <w:spacing w:line="360" w:lineRule="auto"/>
        <w:ind w:firstLine="31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五、开启</w:t>
      </w:r>
      <w:bookmarkEnd w:id="26"/>
      <w:bookmarkEnd w:id="27"/>
      <w:bookmarkEnd w:id="28"/>
      <w:bookmarkEnd w:id="29"/>
      <w:bookmarkEnd w:id="30"/>
      <w:bookmarkEnd w:id="31"/>
    </w:p>
    <w:p w14:paraId="4A275664">
      <w:pPr>
        <w:spacing w:line="360" w:lineRule="auto"/>
        <w:ind w:firstLine="420"/>
        <w:rPr>
          <w:rFonts w:hint="eastAsia" w:ascii="宋体" w:hAnsi="宋体" w:eastAsia="宋体" w:cs="宋体"/>
          <w:bCs/>
          <w:color w:val="auto"/>
          <w:szCs w:val="21"/>
          <w:highlight w:val="none"/>
          <w:u w:val="single"/>
        </w:rPr>
      </w:pPr>
      <w:bookmarkStart w:id="33" w:name="_Toc28359017"/>
      <w:bookmarkStart w:id="34" w:name="_Toc35393634"/>
      <w:bookmarkStart w:id="35" w:name="_Toc28359094"/>
      <w:bookmarkStart w:id="36" w:name="_Toc44229883"/>
      <w:bookmarkStart w:id="37" w:name="_Toc71365910"/>
      <w:bookmarkStart w:id="38" w:name="_Toc35393803"/>
      <w:r>
        <w:rPr>
          <w:rFonts w:hint="eastAsia" w:ascii="宋体" w:hAnsi="宋体" w:eastAsia="宋体" w:cs="宋体"/>
          <w:color w:val="auto"/>
          <w:szCs w:val="21"/>
          <w:highlight w:val="none"/>
        </w:rPr>
        <w:t>时间：</w:t>
      </w:r>
      <w:r>
        <w:rPr>
          <w:rFonts w:hint="eastAsia" w:ascii="宋体" w:hAnsi="宋体" w:eastAsia="宋体" w:cs="宋体"/>
          <w:color w:val="auto"/>
          <w:szCs w:val="21"/>
          <w:highlight w:val="none"/>
          <w:u w:val="single"/>
        </w:rPr>
        <w:t>202</w:t>
      </w:r>
      <w:r>
        <w:rPr>
          <w:rFonts w:hint="eastAsia" w:ascii="宋体" w:hAnsi="宋体" w:eastAsia="宋体" w:cs="宋体"/>
          <w:color w:val="auto"/>
          <w:szCs w:val="21"/>
          <w:highlight w:val="none"/>
          <w:u w:val="single"/>
          <w:lang w:val="en-US" w:eastAsia="zh-CN"/>
        </w:rPr>
        <w:t>6</w:t>
      </w:r>
      <w:r>
        <w:rPr>
          <w:rFonts w:hint="eastAsia" w:ascii="宋体" w:hAnsi="宋体" w:eastAsia="宋体" w:cs="宋体"/>
          <w:color w:val="auto"/>
          <w:szCs w:val="21"/>
          <w:highlight w:val="none"/>
          <w:u w:val="single"/>
        </w:rPr>
        <w:t>年</w:t>
      </w:r>
      <w:r>
        <w:rPr>
          <w:rFonts w:hint="eastAsia" w:ascii="宋体" w:hAnsi="宋体" w:cs="宋体"/>
          <w:color w:val="auto"/>
          <w:szCs w:val="21"/>
          <w:highlight w:val="none"/>
          <w:u w:val="single"/>
          <w:lang w:val="en-US" w:eastAsia="zh-CN"/>
        </w:rPr>
        <w:t>7</w:t>
      </w:r>
      <w:r>
        <w:rPr>
          <w:rFonts w:hint="eastAsia" w:ascii="宋体" w:hAnsi="宋体" w:eastAsia="宋体" w:cs="宋体"/>
          <w:color w:val="auto"/>
          <w:szCs w:val="21"/>
          <w:highlight w:val="none"/>
          <w:u w:val="single"/>
        </w:rPr>
        <w:t>月</w:t>
      </w:r>
      <w:r>
        <w:rPr>
          <w:rFonts w:hint="eastAsia" w:ascii="宋体" w:hAnsi="宋体" w:cs="宋体"/>
          <w:color w:val="auto"/>
          <w:szCs w:val="21"/>
          <w:highlight w:val="none"/>
          <w:u w:val="single"/>
          <w:lang w:val="en-US" w:eastAsia="zh-CN"/>
        </w:rPr>
        <w:t>28</w:t>
      </w:r>
      <w:r>
        <w:rPr>
          <w:rFonts w:hint="eastAsia" w:ascii="宋体" w:hAnsi="宋体" w:eastAsia="宋体" w:cs="宋体"/>
          <w:color w:val="auto"/>
          <w:szCs w:val="21"/>
          <w:highlight w:val="none"/>
          <w:u w:val="single"/>
        </w:rPr>
        <w:t>日</w:t>
      </w:r>
      <w:r>
        <w:rPr>
          <w:rFonts w:hint="eastAsia" w:ascii="宋体" w:hAnsi="宋体" w:cs="宋体"/>
          <w:color w:val="auto"/>
          <w:szCs w:val="21"/>
          <w:highlight w:val="none"/>
          <w:u w:val="single"/>
          <w:lang w:val="en-US" w:eastAsia="zh-CN"/>
        </w:rPr>
        <w:t>9</w:t>
      </w:r>
      <w:r>
        <w:rPr>
          <w:rFonts w:hint="eastAsia" w:ascii="宋体" w:hAnsi="宋体" w:eastAsia="宋体" w:cs="宋体"/>
          <w:color w:val="auto"/>
          <w:szCs w:val="21"/>
          <w:highlight w:val="none"/>
          <w:u w:val="single"/>
        </w:rPr>
        <w:t>时</w:t>
      </w:r>
      <w:r>
        <w:rPr>
          <w:rFonts w:hint="eastAsia" w:ascii="宋体" w:hAnsi="宋体" w:eastAsia="宋体" w:cs="宋体"/>
          <w:color w:val="auto"/>
          <w:szCs w:val="21"/>
          <w:highlight w:val="none"/>
          <w:u w:val="single"/>
          <w:lang w:val="en-US" w:eastAsia="zh-CN"/>
        </w:rPr>
        <w:t>0</w:t>
      </w:r>
      <w:r>
        <w:rPr>
          <w:rFonts w:hint="eastAsia" w:ascii="宋体" w:hAnsi="宋体" w:eastAsia="宋体" w:cs="宋体"/>
          <w:color w:val="auto"/>
          <w:szCs w:val="21"/>
          <w:highlight w:val="none"/>
          <w:u w:val="single"/>
        </w:rPr>
        <w:t>0分后</w:t>
      </w:r>
      <w:r>
        <w:rPr>
          <w:rFonts w:hint="eastAsia" w:ascii="宋体" w:hAnsi="宋体" w:eastAsia="宋体" w:cs="宋体"/>
          <w:bCs/>
          <w:color w:val="auto"/>
          <w:szCs w:val="21"/>
          <w:highlight w:val="none"/>
          <w:u w:val="single"/>
        </w:rPr>
        <w:t>（</w:t>
      </w:r>
      <w:r>
        <w:rPr>
          <w:rFonts w:hint="eastAsia" w:ascii="宋体" w:hAnsi="宋体" w:eastAsia="宋体" w:cs="宋体"/>
          <w:bCs/>
          <w:color w:val="auto"/>
          <w:szCs w:val="21"/>
          <w:highlight w:val="none"/>
        </w:rPr>
        <w:t>北京时间）</w:t>
      </w:r>
    </w:p>
    <w:p w14:paraId="6BD99635">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地点：</w:t>
      </w:r>
      <w:r>
        <w:rPr>
          <w:rFonts w:hint="eastAsia" w:ascii="宋体" w:hAnsi="宋体" w:cs="宋体"/>
          <w:bCs/>
          <w:color w:val="auto"/>
          <w:szCs w:val="21"/>
          <w:highlight w:val="none"/>
          <w:lang w:val="en-US" w:eastAsia="zh-CN"/>
        </w:rPr>
        <w:t>云之龙咨询集团有限公司藤县分公司</w:t>
      </w:r>
      <w:r>
        <w:rPr>
          <w:rFonts w:hint="eastAsia" w:ascii="宋体" w:hAnsi="宋体" w:eastAsia="宋体" w:cs="宋体"/>
          <w:bCs/>
          <w:color w:val="auto"/>
          <w:szCs w:val="21"/>
          <w:highlight w:val="none"/>
          <w:lang w:val="en-US" w:eastAsia="zh-CN"/>
        </w:rPr>
        <w:t>（地址：</w:t>
      </w:r>
      <w:r>
        <w:rPr>
          <w:rFonts w:hint="eastAsia" w:ascii="宋体" w:hAnsi="宋体" w:cs="宋体"/>
          <w:bCs/>
          <w:color w:val="auto"/>
          <w:szCs w:val="21"/>
          <w:highlight w:val="none"/>
          <w:lang w:val="en-US" w:eastAsia="zh-CN"/>
        </w:rPr>
        <w:t>藤县河东安泰五街62号</w:t>
      </w:r>
      <w:r>
        <w:rPr>
          <w:rFonts w:hint="eastAsia" w:ascii="宋体" w:hAnsi="宋体" w:eastAsia="宋体" w:cs="宋体"/>
          <w:bCs/>
          <w:color w:val="auto"/>
          <w:szCs w:val="21"/>
          <w:highlight w:val="none"/>
          <w:lang w:val="en-US" w:eastAsia="zh-CN"/>
        </w:rPr>
        <w:t>）</w:t>
      </w:r>
    </w:p>
    <w:p w14:paraId="3C1BD041">
      <w:pPr>
        <w:spacing w:line="360" w:lineRule="auto"/>
        <w:ind w:firstLine="31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六、公告期限</w:t>
      </w:r>
      <w:bookmarkEnd w:id="32"/>
      <w:bookmarkEnd w:id="33"/>
      <w:bookmarkEnd w:id="34"/>
      <w:bookmarkEnd w:id="35"/>
      <w:bookmarkEnd w:id="36"/>
      <w:bookmarkEnd w:id="37"/>
    </w:p>
    <w:p w14:paraId="1CA3422A">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自本公告发布之日起</w:t>
      </w:r>
      <w:r>
        <w:rPr>
          <w:rFonts w:hint="eastAsia" w:ascii="宋体" w:hAnsi="宋体" w:eastAsia="宋体" w:cs="宋体"/>
          <w:color w:val="auto"/>
          <w:szCs w:val="21"/>
          <w:highlight w:val="none"/>
        </w:rPr>
        <w:t>3个工作日</w:t>
      </w:r>
      <w:r>
        <w:rPr>
          <w:rFonts w:hint="eastAsia" w:ascii="宋体" w:hAnsi="宋体" w:eastAsia="宋体" w:cs="宋体"/>
          <w:color w:val="auto"/>
          <w:szCs w:val="21"/>
          <w:highlight w:val="none"/>
        </w:rPr>
        <w:t>。</w:t>
      </w:r>
    </w:p>
    <w:p w14:paraId="1D14E4DB">
      <w:pPr>
        <w:spacing w:line="360" w:lineRule="auto"/>
        <w:ind w:firstLine="310"/>
        <w:rPr>
          <w:rFonts w:hint="eastAsia" w:ascii="宋体" w:hAnsi="宋体" w:eastAsia="宋体" w:cs="宋体"/>
          <w:b/>
          <w:color w:val="auto"/>
          <w:szCs w:val="21"/>
          <w:highlight w:val="none"/>
        </w:rPr>
      </w:pPr>
      <w:bookmarkStart w:id="39" w:name="_Toc71365911"/>
      <w:bookmarkStart w:id="40" w:name="_Toc35393804"/>
      <w:bookmarkStart w:id="41" w:name="_Toc44229884"/>
      <w:bookmarkStart w:id="42" w:name="_Toc35393635"/>
      <w:r>
        <w:rPr>
          <w:rFonts w:hint="eastAsia" w:ascii="宋体" w:hAnsi="宋体" w:eastAsia="宋体" w:cs="宋体"/>
          <w:b/>
          <w:color w:val="auto"/>
          <w:szCs w:val="21"/>
          <w:highlight w:val="none"/>
        </w:rPr>
        <w:t>七、其他补充事宜</w:t>
      </w:r>
      <w:bookmarkEnd w:id="38"/>
      <w:bookmarkEnd w:id="39"/>
      <w:bookmarkEnd w:id="40"/>
      <w:bookmarkEnd w:id="41"/>
    </w:p>
    <w:p w14:paraId="685DDC30">
      <w:pPr>
        <w:spacing w:line="360" w:lineRule="auto"/>
        <w:ind w:firstLine="420"/>
        <w:rPr>
          <w:rFonts w:hint="eastAsia" w:ascii="宋体" w:hAnsi="宋体" w:eastAsia="宋体" w:cs="宋体"/>
          <w:color w:val="auto"/>
          <w:szCs w:val="21"/>
          <w:highlight w:val="none"/>
          <w:lang w:eastAsia="zh-CN"/>
        </w:rPr>
      </w:pPr>
      <w:bookmarkStart w:id="43" w:name="_Toc44229885"/>
      <w:bookmarkStart w:id="44" w:name="_Toc28359018"/>
      <w:bookmarkStart w:id="45" w:name="_Toc28359095"/>
      <w:bookmarkStart w:id="46" w:name="_Toc35393805"/>
      <w:bookmarkStart w:id="47" w:name="_Toc35393636"/>
      <w:r>
        <w:rPr>
          <w:rFonts w:hint="eastAsia" w:ascii="宋体" w:hAnsi="宋体" w:eastAsia="宋体" w:cs="宋体"/>
          <w:color w:val="auto"/>
          <w:szCs w:val="21"/>
          <w:highlight w:val="none"/>
        </w:rPr>
        <w:t>网上查询地址</w:t>
      </w:r>
      <w:bookmarkStart w:id="48" w:name="_Hlk37429674"/>
      <w:r>
        <w:rPr>
          <w:rFonts w:hint="eastAsia" w:ascii="宋体" w:hAnsi="宋体" w:eastAsia="宋体" w:cs="宋体"/>
          <w:color w:val="auto"/>
          <w:szCs w:val="21"/>
          <w:highlight w:val="none"/>
          <w:lang w:eastAsia="zh-CN"/>
        </w:rPr>
        <w:t>：</w:t>
      </w:r>
      <w:r>
        <w:rPr>
          <w:rFonts w:hint="eastAsia" w:ascii="宋体" w:hAnsi="宋体" w:cs="宋体"/>
          <w:color w:val="auto"/>
          <w:szCs w:val="21"/>
          <w:highlight w:val="none"/>
          <w:lang w:val="en-US" w:eastAsia="zh-CN"/>
        </w:rPr>
        <w:t>采购人微信公众号</w:t>
      </w:r>
      <w:bookmarkEnd w:id="42"/>
      <w:r>
        <w:rPr>
          <w:rFonts w:hint="eastAsia" w:ascii="宋体" w:hAnsi="宋体" w:cs="宋体"/>
          <w:color w:val="auto"/>
          <w:szCs w:val="21"/>
          <w:highlight w:val="none"/>
          <w:lang w:eastAsia="zh-CN"/>
        </w:rPr>
        <w:t>、</w:t>
      </w:r>
      <w:r>
        <w:rPr>
          <w:rFonts w:hint="eastAsia" w:ascii="宋体" w:hAnsi="宋体" w:cs="Arial"/>
          <w:color w:val="auto"/>
          <w:szCs w:val="21"/>
          <w:highlight w:val="none"/>
        </w:rPr>
        <w:t>云之龙咨询集团有限公司网</w:t>
      </w:r>
      <w:r>
        <w:rPr>
          <w:rFonts w:hint="eastAsia" w:ascii="宋体" w:hAnsi="宋体" w:cs="Arial"/>
          <w:color w:val="auto"/>
          <w:szCs w:val="21"/>
          <w:highlight w:val="none"/>
          <w:lang w:eastAsia="zh-CN"/>
        </w:rPr>
        <w:t>。</w:t>
      </w:r>
    </w:p>
    <w:p w14:paraId="7E6C8107">
      <w:pPr>
        <w:spacing w:line="360" w:lineRule="auto"/>
        <w:ind w:firstLine="31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八、凡对本次采购提出询问，请按以下方式联系。</w:t>
      </w:r>
      <w:bookmarkEnd w:id="43"/>
      <w:bookmarkEnd w:id="44"/>
      <w:bookmarkEnd w:id="45"/>
      <w:bookmarkEnd w:id="46"/>
      <w:bookmarkEnd w:id="47"/>
      <w:bookmarkEnd w:id="48"/>
    </w:p>
    <w:p w14:paraId="767E3F4B">
      <w:pPr>
        <w:spacing w:line="360" w:lineRule="auto"/>
        <w:ind w:left="0" w:firstLine="218"/>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1.采购人信息</w:t>
      </w:r>
    </w:p>
    <w:p w14:paraId="77A1D4AC">
      <w:pPr>
        <w:spacing w:line="360" w:lineRule="auto"/>
        <w:ind w:left="0" w:firstLine="218"/>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名    称：</w:t>
      </w:r>
      <w:r>
        <w:rPr>
          <w:rFonts w:hint="eastAsia" w:ascii="宋体" w:hAnsi="宋体" w:cs="宋体"/>
          <w:color w:val="auto"/>
          <w:szCs w:val="21"/>
          <w:highlight w:val="none"/>
          <w:lang w:eastAsia="zh-CN"/>
        </w:rPr>
        <w:t>藤县龙之盾保安服务有限公司</w:t>
      </w:r>
    </w:p>
    <w:p w14:paraId="7132C885">
      <w:pPr>
        <w:spacing w:line="360" w:lineRule="auto"/>
        <w:ind w:left="0" w:firstLine="218"/>
        <w:jc w:val="left"/>
        <w:rPr>
          <w:rFonts w:hint="eastAsia" w:ascii="宋体" w:hAnsi="宋体" w:cs="宋体"/>
          <w:color w:val="auto"/>
          <w:szCs w:val="21"/>
          <w:highlight w:val="none"/>
          <w:u w:val="single"/>
          <w:lang w:val="en-US" w:eastAsia="zh-CN"/>
        </w:rPr>
      </w:pPr>
      <w:r>
        <w:rPr>
          <w:rFonts w:hint="eastAsia" w:ascii="宋体" w:hAnsi="宋体" w:eastAsia="宋体" w:cs="宋体"/>
          <w:color w:val="auto"/>
          <w:szCs w:val="21"/>
          <w:highlight w:val="none"/>
        </w:rPr>
        <w:t>地    址：</w:t>
      </w:r>
      <w:r>
        <w:rPr>
          <w:rFonts w:hint="eastAsia" w:ascii="宋体" w:hAnsi="宋体" w:cs="宋体"/>
          <w:color w:val="auto"/>
          <w:szCs w:val="21"/>
          <w:highlight w:val="none"/>
          <w:u w:val="single"/>
          <w:lang w:val="en-US" w:eastAsia="zh-CN"/>
        </w:rPr>
        <w:t>藤县藤州镇西厚路139号</w:t>
      </w:r>
    </w:p>
    <w:p w14:paraId="4F0BAE1B">
      <w:pPr>
        <w:spacing w:line="360" w:lineRule="auto"/>
        <w:ind w:left="0" w:firstLine="218"/>
        <w:jc w:val="lef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联系方式：</w:t>
      </w:r>
      <w:r>
        <w:rPr>
          <w:rFonts w:hint="eastAsia" w:ascii="宋体" w:hAnsi="宋体" w:cs="宋体"/>
          <w:color w:val="auto"/>
          <w:szCs w:val="21"/>
          <w:highlight w:val="none"/>
          <w:u w:val="none"/>
          <w:lang w:val="en-US" w:eastAsia="zh-CN"/>
        </w:rPr>
        <w:t>陈女士</w:t>
      </w:r>
      <w:r>
        <w:rPr>
          <w:rFonts w:hint="eastAsia" w:ascii="宋体" w:hAnsi="宋体" w:eastAsia="宋体" w:cs="宋体"/>
          <w:color w:val="auto"/>
          <w:szCs w:val="21"/>
          <w:highlight w:val="none"/>
        </w:rPr>
        <w:t>，0774</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rPr>
        <w:t>7361511</w:t>
      </w:r>
      <w:r>
        <w:rPr>
          <w:rFonts w:hint="eastAsia" w:ascii="宋体" w:hAnsi="宋体" w:cs="宋体"/>
          <w:color w:val="auto"/>
          <w:szCs w:val="21"/>
          <w:highlight w:val="none"/>
          <w:lang w:val="en-US" w:eastAsia="zh-CN"/>
        </w:rPr>
        <w:t xml:space="preserve">  </w:t>
      </w:r>
    </w:p>
    <w:p w14:paraId="6DBB1C88">
      <w:pPr>
        <w:spacing w:line="360" w:lineRule="auto"/>
        <w:ind w:left="0" w:firstLine="218"/>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2.采购代理机构信息</w:t>
      </w:r>
    </w:p>
    <w:p w14:paraId="2A3F67A7">
      <w:pPr>
        <w:spacing w:line="360" w:lineRule="auto"/>
        <w:ind w:left="0" w:firstLine="218"/>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    称：云之龙咨询集团有限公司</w:t>
      </w:r>
    </w:p>
    <w:p w14:paraId="0324A530">
      <w:pPr>
        <w:spacing w:line="360" w:lineRule="auto"/>
        <w:ind w:left="0" w:firstLine="218"/>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地　　址：</w:t>
      </w:r>
      <w:r>
        <w:rPr>
          <w:rFonts w:hint="eastAsia" w:ascii="宋体" w:hAnsi="宋体" w:cs="宋体"/>
          <w:color w:val="auto"/>
          <w:szCs w:val="21"/>
          <w:highlight w:val="none"/>
          <w:lang w:eastAsia="zh-CN"/>
        </w:rPr>
        <w:t>藤县河东安泰五街62号</w:t>
      </w:r>
    </w:p>
    <w:p w14:paraId="6318BEC3">
      <w:pPr>
        <w:spacing w:line="360" w:lineRule="auto"/>
        <w:ind w:left="0" w:firstLine="218"/>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联系方式：</w:t>
      </w:r>
      <w:r>
        <w:rPr>
          <w:rFonts w:hint="eastAsia" w:ascii="宋体" w:hAnsi="宋体" w:cs="宋体"/>
          <w:color w:val="auto"/>
          <w:szCs w:val="21"/>
          <w:highlight w:val="none"/>
          <w:lang w:eastAsia="zh-CN"/>
        </w:rPr>
        <w:t>姚国铭</w:t>
      </w:r>
      <w:r>
        <w:rPr>
          <w:rFonts w:hint="eastAsia" w:ascii="宋体" w:hAnsi="宋体" w:eastAsia="宋体" w:cs="宋体"/>
          <w:color w:val="auto"/>
          <w:szCs w:val="21"/>
          <w:highlight w:val="none"/>
        </w:rPr>
        <w:t>、陈丽年，</w:t>
      </w:r>
      <w:r>
        <w:rPr>
          <w:rFonts w:hint="eastAsia" w:ascii="宋体" w:hAnsi="宋体"/>
          <w:color w:val="auto"/>
          <w:szCs w:val="21"/>
          <w:highlight w:val="none"/>
        </w:rPr>
        <w:t>0774-7288399/0774-</w:t>
      </w:r>
      <w:r>
        <w:rPr>
          <w:rFonts w:hint="eastAsia" w:ascii="宋体" w:hAnsi="宋体"/>
          <w:color w:val="auto"/>
          <w:szCs w:val="21"/>
          <w:highlight w:val="none"/>
          <w:lang w:val="en-US" w:eastAsia="zh-CN"/>
        </w:rPr>
        <w:t>8219456</w:t>
      </w:r>
    </w:p>
    <w:p w14:paraId="1FFC22CD">
      <w:pPr>
        <w:spacing w:line="360" w:lineRule="auto"/>
        <w:ind w:left="0" w:firstLine="218"/>
        <w:jc w:val="left"/>
        <w:rPr>
          <w:rFonts w:hint="eastAsia" w:ascii="宋体" w:hAnsi="宋体" w:eastAsia="宋体" w:cs="宋体"/>
          <w:color w:val="auto"/>
          <w:szCs w:val="21"/>
          <w:highlight w:val="none"/>
        </w:rPr>
      </w:pPr>
      <w:bookmarkStart w:id="49" w:name="_Toc35393808"/>
      <w:bookmarkStart w:id="50" w:name="_Toc28359098"/>
      <w:bookmarkStart w:id="51" w:name="_Toc35393639"/>
      <w:bookmarkStart w:id="52" w:name="_Toc28359021"/>
      <w:r>
        <w:rPr>
          <w:rFonts w:hint="eastAsia" w:ascii="宋体" w:hAnsi="宋体" w:eastAsia="宋体" w:cs="宋体"/>
          <w:color w:val="auto"/>
          <w:szCs w:val="21"/>
          <w:highlight w:val="none"/>
        </w:rPr>
        <w:t>3.项目联系方式</w:t>
      </w:r>
      <w:bookmarkEnd w:id="49"/>
      <w:bookmarkEnd w:id="50"/>
      <w:bookmarkEnd w:id="51"/>
    </w:p>
    <w:p w14:paraId="65447D7E">
      <w:pPr>
        <w:spacing w:line="360" w:lineRule="auto"/>
        <w:ind w:left="0" w:firstLine="218"/>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项目联系人：</w:t>
      </w:r>
      <w:r>
        <w:rPr>
          <w:rFonts w:hint="eastAsia" w:ascii="宋体" w:hAnsi="宋体" w:cs="宋体"/>
          <w:color w:val="auto"/>
          <w:szCs w:val="21"/>
          <w:highlight w:val="none"/>
          <w:lang w:eastAsia="zh-CN"/>
        </w:rPr>
        <w:t>姚国铭</w:t>
      </w:r>
      <w:r>
        <w:rPr>
          <w:rFonts w:hint="eastAsia" w:ascii="宋体" w:hAnsi="宋体" w:eastAsia="宋体" w:cs="宋体"/>
          <w:color w:val="auto"/>
          <w:szCs w:val="21"/>
          <w:highlight w:val="none"/>
        </w:rPr>
        <w:t>、陈丽年</w:t>
      </w:r>
    </w:p>
    <w:p w14:paraId="2CC0BD39">
      <w:pPr>
        <w:spacing w:line="360" w:lineRule="auto"/>
        <w:ind w:left="0" w:firstLine="218"/>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话：0774-</w:t>
      </w:r>
      <w:r>
        <w:rPr>
          <w:rFonts w:hint="eastAsia" w:ascii="宋体" w:hAnsi="宋体" w:cs="宋体"/>
          <w:color w:val="auto"/>
          <w:szCs w:val="21"/>
          <w:highlight w:val="none"/>
          <w:lang w:val="en-US" w:eastAsia="zh-CN"/>
        </w:rPr>
        <w:t>7288399/</w:t>
      </w:r>
      <w:r>
        <w:rPr>
          <w:rFonts w:hint="eastAsia" w:ascii="宋体" w:hAnsi="宋体" w:eastAsia="宋体" w:cs="宋体"/>
          <w:color w:val="auto"/>
          <w:szCs w:val="21"/>
          <w:highlight w:val="none"/>
        </w:rPr>
        <w:t>8219456</w:t>
      </w:r>
    </w:p>
    <w:p w14:paraId="65D17439">
      <w:pPr>
        <w:spacing w:line="360" w:lineRule="auto"/>
        <w:jc w:val="right"/>
        <w:rPr>
          <w:rFonts w:hint="eastAsia" w:ascii="宋体" w:hAnsi="宋体" w:eastAsia="宋体" w:cs="宋体"/>
          <w:color w:val="auto"/>
          <w:szCs w:val="21"/>
          <w:highlight w:val="none"/>
        </w:rPr>
      </w:pPr>
    </w:p>
    <w:p w14:paraId="18B8D88F">
      <w:pPr>
        <w:spacing w:line="360" w:lineRule="auto"/>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云之龙咨询集团有限公司</w:t>
      </w:r>
    </w:p>
    <w:p w14:paraId="7B48716F">
      <w:pPr>
        <w:jc w:val="righ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2026年7月17</w:t>
      </w:r>
      <w:r>
        <w:rPr>
          <w:rFonts w:hint="eastAsia" w:ascii="宋体" w:hAnsi="宋体" w:eastAsia="宋体" w:cs="宋体"/>
          <w:color w:val="auto"/>
          <w:szCs w:val="21"/>
          <w:highlight w:val="none"/>
          <w:lang w:val="en-US" w:eastAsia="zh-CN"/>
        </w:rPr>
        <w:t>日</w:t>
      </w:r>
    </w:p>
    <w:p w14:paraId="559ED99E">
      <w:pPr>
        <w:pStyle w:val="199"/>
        <w:bidi w:val="0"/>
        <w:jc w:val="center"/>
        <w:rPr>
          <w:rFonts w:hint="eastAsia" w:ascii="宋体" w:hAnsi="宋体" w:eastAsia="宋体" w:cs="宋体"/>
          <w:color w:val="auto"/>
          <w:highlight w:val="none"/>
        </w:rPr>
      </w:pPr>
      <w:r>
        <w:rPr>
          <w:rFonts w:hint="eastAsia" w:ascii="宋体" w:hAnsi="宋体" w:eastAsia="宋体" w:cs="宋体"/>
          <w:color w:val="auto"/>
          <w:szCs w:val="21"/>
          <w:highlight w:val="none"/>
        </w:rPr>
        <w:br w:type="page" w:clear="all"/>
      </w:r>
      <w:bookmarkStart w:id="53" w:name="_Toc11954"/>
      <w:r>
        <w:rPr>
          <w:rFonts w:hint="eastAsia"/>
          <w:color w:val="auto"/>
          <w:highlight w:val="none"/>
        </w:rPr>
        <w:t>第二章 供应商须知</w:t>
      </w:r>
      <w:bookmarkEnd w:id="52"/>
      <w:bookmarkEnd w:id="53"/>
    </w:p>
    <w:p w14:paraId="34AE69B5">
      <w:pPr>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供应商须知前附表</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2"/>
        <w:gridCol w:w="7912"/>
      </w:tblGrid>
      <w:tr w14:paraId="6DD97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top"/>
          </w:tcPr>
          <w:p w14:paraId="44BB24CD">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条款号</w:t>
            </w:r>
          </w:p>
        </w:tc>
        <w:tc>
          <w:tcPr>
            <w:tcW w:w="7912" w:type="dxa"/>
            <w:tcBorders>
              <w:top w:val="single" w:color="000000" w:sz="4" w:space="0"/>
              <w:left w:val="single" w:color="000000" w:sz="4" w:space="0"/>
              <w:bottom w:val="single" w:color="000000" w:sz="4" w:space="0"/>
              <w:right w:val="single" w:color="000000" w:sz="4" w:space="0"/>
            </w:tcBorders>
            <w:noWrap w:val="0"/>
            <w:vAlign w:val="top"/>
          </w:tcPr>
          <w:p w14:paraId="2A1552DF">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内    容</w:t>
            </w:r>
          </w:p>
        </w:tc>
      </w:tr>
      <w:tr w14:paraId="14325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5925BE7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261E85B4">
            <w:pPr>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1.供应商的资格条件</w:t>
            </w:r>
            <w:r>
              <w:rPr>
                <w:rFonts w:hint="eastAsia" w:ascii="宋体" w:hAnsi="宋体" w:eastAsia="宋体" w:cs="宋体"/>
                <w:color w:val="auto"/>
                <w:szCs w:val="21"/>
                <w:highlight w:val="none"/>
              </w:rPr>
              <w:t>：详见竞争性磋商公告</w:t>
            </w:r>
          </w:p>
          <w:p w14:paraId="1CD851FE">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bCs/>
                <w:color w:val="auto"/>
                <w:szCs w:val="21"/>
                <w:highlight w:val="none"/>
              </w:rPr>
              <w:t>供应商</w:t>
            </w:r>
            <w:r>
              <w:rPr>
                <w:rFonts w:hint="eastAsia" w:ascii="宋体" w:hAnsi="宋体" w:eastAsia="宋体" w:cs="宋体"/>
                <w:color w:val="auto"/>
                <w:szCs w:val="21"/>
                <w:highlight w:val="none"/>
              </w:rPr>
              <w:t>出现下列情形之一的，不得参加采购活动：</w:t>
            </w:r>
          </w:p>
          <w:p w14:paraId="4206AD7A">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2.1单位负责人为同一人或者存在直接控股、管理关系的不同供应商，不得参加同一合同项下的采购活动。为本项目提供过整体设计、规范编制或者项目管理、监理、检测等服务的供应商，不得再参加本项目上述服务以外的其他采购活动。</w:t>
            </w:r>
          </w:p>
          <w:p w14:paraId="4AB6A2D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2.2对在“信用中国”网站（www.creditchina.gov.cn） 、中国政府采购网（www.ccgp.gov.cn）被列入失信被执行人、重大税收违法失信主体、政府采购严重违法失信行为记录名单及其他不符合《中华人民共和国政府采购法》第二十二条规定条件的供应商，不得参与采购活动。</w:t>
            </w:r>
          </w:p>
        </w:tc>
      </w:tr>
      <w:tr w14:paraId="73A58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3252F61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5.1</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1CA7E66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是否接受联合体竞标</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详见竞争性磋商公告</w:t>
            </w:r>
          </w:p>
        </w:tc>
      </w:tr>
      <w:tr w14:paraId="2E91E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70530695">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5.2</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205A2C29">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本项目不接受联合体。</w:t>
            </w:r>
          </w:p>
        </w:tc>
      </w:tr>
      <w:tr w14:paraId="6D6B4C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0AE3114D">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6.2</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7BF0A387">
            <w:pPr>
              <w:pStyle w:val="21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不允许分包或转包。</w:t>
            </w:r>
          </w:p>
        </w:tc>
      </w:tr>
      <w:tr w14:paraId="285E15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3A37BD55">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12.1.1</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6DDFBAAE">
            <w:pPr>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资格证明文件</w:t>
            </w:r>
          </w:p>
          <w:p w14:paraId="10495E1C">
            <w:pPr>
              <w:pStyle w:val="213"/>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1.供应商为法人或者其他组织的提供其营业执照等证明文件（如营业执照或者事业单位法人证书或者执业许可证或者登记证书等），供应商为自然人的提供其身份证复印件；（</w:t>
            </w:r>
            <w:r>
              <w:rPr>
                <w:rFonts w:hint="eastAsia" w:ascii="宋体" w:hAnsi="宋体" w:eastAsia="宋体" w:cs="宋体"/>
                <w:b/>
                <w:color w:val="auto"/>
                <w:szCs w:val="21"/>
                <w:highlight w:val="none"/>
              </w:rPr>
              <w:t>必须提供，否则响应文件按无效响应处理</w:t>
            </w:r>
            <w:r>
              <w:rPr>
                <w:rFonts w:hint="eastAsia" w:ascii="宋体" w:hAnsi="宋体" w:eastAsia="宋体" w:cs="宋体"/>
                <w:color w:val="auto"/>
                <w:szCs w:val="21"/>
                <w:highlight w:val="none"/>
              </w:rPr>
              <w:t>）</w:t>
            </w:r>
          </w:p>
          <w:p w14:paraId="08936938">
            <w:pPr>
              <w:spacing w:line="360" w:lineRule="auto"/>
              <w:contextualSpacing/>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2.供应商依法缴纳税收的相关材料（</w:t>
            </w:r>
            <w:r>
              <w:rPr>
                <w:rFonts w:hint="eastAsia" w:ascii="宋体" w:hAnsi="宋体" w:eastAsia="宋体" w:cs="宋体"/>
                <w:color w:val="auto"/>
                <w:szCs w:val="21"/>
                <w:highlight w:val="none"/>
              </w:rPr>
              <w:t>202</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年</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月至响应文件</w:t>
            </w:r>
            <w:r>
              <w:rPr>
                <w:rFonts w:hint="eastAsia" w:ascii="宋体" w:hAnsi="宋体" w:eastAsia="宋体" w:cs="宋体"/>
                <w:color w:val="auto"/>
                <w:szCs w:val="21"/>
                <w:highlight w:val="none"/>
                <w:lang w:val="en-US" w:eastAsia="zh-CN"/>
              </w:rPr>
              <w:t>提交</w:t>
            </w:r>
            <w:r>
              <w:rPr>
                <w:rFonts w:hint="eastAsia" w:ascii="宋体" w:hAnsi="宋体" w:eastAsia="宋体" w:cs="宋体"/>
                <w:color w:val="auto"/>
                <w:szCs w:val="21"/>
                <w:highlight w:val="none"/>
              </w:rPr>
              <w:t>截止时间内任意</w:t>
            </w:r>
            <w:r>
              <w:rPr>
                <w:rFonts w:hint="eastAsia" w:ascii="宋体" w:hAnsi="宋体" w:eastAsia="宋体" w:cs="宋体"/>
                <w:color w:val="auto"/>
                <w:szCs w:val="21"/>
                <w:highlight w:val="none"/>
                <w:lang w:val="en-US" w:eastAsia="zh-CN"/>
              </w:rPr>
              <w:t>1个</w:t>
            </w:r>
            <w:r>
              <w:rPr>
                <w:rFonts w:hint="eastAsia" w:ascii="宋体" w:hAnsi="宋体" w:eastAsia="宋体" w:cs="宋体"/>
                <w:color w:val="auto"/>
                <w:szCs w:val="21"/>
                <w:highlight w:val="none"/>
              </w:rPr>
              <w:t>月的依法缴纳税收的凭据复印件；依法免税的，必须提供相应文件证明其依法免税。从成立之日起到响应文件提交截止时间止不足要求月数的，</w:t>
            </w:r>
            <w:r>
              <w:rPr>
                <w:rFonts w:hint="eastAsia" w:ascii="宋体" w:hAnsi="宋体" w:eastAsia="宋体" w:cs="宋体"/>
                <w:color w:val="auto"/>
                <w:szCs w:val="21"/>
                <w:highlight w:val="none"/>
                <w:lang w:val="en-US" w:eastAsia="zh-CN"/>
              </w:rPr>
              <w:t>不需提交</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必须提供，否则响应文件按无效响应处理</w:t>
            </w:r>
            <w:r>
              <w:rPr>
                <w:rFonts w:hint="eastAsia" w:ascii="宋体" w:hAnsi="宋体" w:eastAsia="宋体" w:cs="宋体"/>
                <w:color w:val="auto"/>
                <w:szCs w:val="21"/>
                <w:highlight w:val="none"/>
              </w:rPr>
              <w:t>）</w:t>
            </w:r>
          </w:p>
          <w:p w14:paraId="665B4BF5">
            <w:pPr>
              <w:spacing w:line="360" w:lineRule="auto"/>
              <w:contextualSpacing/>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3.供应商依法缴纳社会保障资金的相关材料[</w:t>
            </w:r>
            <w:r>
              <w:rPr>
                <w:rFonts w:hint="eastAsia" w:ascii="宋体" w:hAnsi="宋体" w:eastAsia="宋体" w:cs="宋体"/>
                <w:color w:val="auto"/>
                <w:szCs w:val="21"/>
                <w:highlight w:val="none"/>
              </w:rPr>
              <w:t>202</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年</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月至响应文件</w:t>
            </w:r>
            <w:r>
              <w:rPr>
                <w:rFonts w:hint="eastAsia" w:ascii="宋体" w:hAnsi="宋体" w:eastAsia="宋体" w:cs="宋体"/>
                <w:color w:val="auto"/>
                <w:szCs w:val="21"/>
                <w:highlight w:val="none"/>
                <w:lang w:val="en-US" w:eastAsia="zh-CN"/>
              </w:rPr>
              <w:t>提交</w:t>
            </w:r>
            <w:r>
              <w:rPr>
                <w:rFonts w:hint="eastAsia" w:ascii="宋体" w:hAnsi="宋体" w:eastAsia="宋体" w:cs="宋体"/>
                <w:color w:val="auto"/>
                <w:szCs w:val="21"/>
                <w:highlight w:val="none"/>
              </w:rPr>
              <w:t>截止时间内任意</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个月的依法缴纳社会保障资金的缴费凭证</w:t>
            </w:r>
            <w:r>
              <w:rPr>
                <w:rFonts w:hint="eastAsia" w:ascii="宋体" w:hAnsi="宋体" w:eastAsia="宋体" w:cs="宋体"/>
                <w:color w:val="auto"/>
                <w:szCs w:val="21"/>
                <w:highlight w:val="none"/>
              </w:rPr>
              <w:t>（如：专用收据、社会保险缴纳清单或者社保部门的证明等）</w:t>
            </w:r>
            <w:r>
              <w:rPr>
                <w:rFonts w:hint="eastAsia" w:ascii="宋体" w:hAnsi="宋体" w:eastAsia="宋体" w:cs="宋体"/>
                <w:color w:val="auto"/>
                <w:szCs w:val="21"/>
                <w:highlight w:val="none"/>
              </w:rPr>
              <w:t>复印件；依法不需要缴纳社会保障资金的，必须提供相应文件证明不需要缴纳社会保障资金。从成立之日起到响应文件提交截止时间止不足要求月数的，</w:t>
            </w:r>
            <w:r>
              <w:rPr>
                <w:rFonts w:hint="eastAsia" w:ascii="宋体" w:hAnsi="宋体" w:eastAsia="宋体" w:cs="宋体"/>
                <w:color w:val="auto"/>
                <w:szCs w:val="21"/>
                <w:highlight w:val="none"/>
                <w:lang w:val="en-US" w:eastAsia="zh-CN"/>
              </w:rPr>
              <w:t>不需提交</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必须提供，否则响应文件按无效响应处理</w:t>
            </w:r>
            <w:r>
              <w:rPr>
                <w:rFonts w:hint="eastAsia" w:ascii="宋体" w:hAnsi="宋体" w:eastAsia="宋体" w:cs="宋体"/>
                <w:color w:val="auto"/>
                <w:szCs w:val="21"/>
                <w:highlight w:val="none"/>
              </w:rPr>
              <w:t>）</w:t>
            </w:r>
          </w:p>
          <w:p w14:paraId="3F3E7B01">
            <w:pPr>
              <w:spacing w:line="360" w:lineRule="auto"/>
              <w:contextualSpacing/>
              <w:jc w:val="lef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4.供应商财务状况报告（2025年</w:t>
            </w:r>
            <w:r>
              <w:rPr>
                <w:color w:val="auto"/>
                <w:highlight w:val="none"/>
              </w:rPr>
              <w:t>度</w:t>
            </w:r>
            <w:r>
              <w:rPr>
                <w:rFonts w:hint="eastAsia" w:ascii="宋体" w:hAnsi="宋体" w:eastAsia="宋体" w:cs="宋体"/>
                <w:color w:val="auto"/>
                <w:szCs w:val="21"/>
                <w:highlight w:val="none"/>
              </w:rPr>
              <w:t>财务报表复印件，或者银行出具的资信证明，或者中国人民银行征信中心出具的信用报告（企业竞标的提供企业信用报告，自然人竞标的提供个人信用报告）；供应商属于成立时间在规定年度之后的法人或其他组织，需提供成立之日起至响应文件提交截止时间前的月报表或银行出具的资信证明或者中国人民银行征信中心出具的企业信用报告；资信证明应在有效期内，未注明有效期的，银行出具时间至响应文件提交截止时间不超过一年）；</w:t>
            </w:r>
            <w:r>
              <w:rPr>
                <w:rFonts w:hint="eastAsia" w:ascii="宋体" w:hAnsi="宋体" w:eastAsia="宋体" w:cs="宋体"/>
                <w:bCs/>
                <w:color w:val="auto"/>
                <w:szCs w:val="21"/>
                <w:highlight w:val="none"/>
              </w:rPr>
              <w:t>（</w:t>
            </w:r>
            <w:r>
              <w:rPr>
                <w:rFonts w:hint="eastAsia" w:ascii="宋体" w:hAnsi="宋体" w:eastAsia="宋体" w:cs="宋体"/>
                <w:b/>
                <w:color w:val="auto"/>
                <w:szCs w:val="21"/>
                <w:highlight w:val="none"/>
              </w:rPr>
              <w:t>必须提供，否则响应文件按无效响应处理</w:t>
            </w:r>
            <w:r>
              <w:rPr>
                <w:rFonts w:hint="eastAsia" w:ascii="宋体" w:hAnsi="宋体" w:eastAsia="宋体" w:cs="宋体"/>
                <w:bCs/>
                <w:color w:val="auto"/>
                <w:szCs w:val="21"/>
                <w:highlight w:val="none"/>
              </w:rPr>
              <w:t>）</w:t>
            </w:r>
          </w:p>
          <w:p w14:paraId="3ED0AC6F">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直接控股</w:t>
            </w:r>
            <w:r>
              <w:rPr>
                <w:rFonts w:hint="eastAsia" w:ascii="宋体" w:hAnsi="宋体" w:eastAsia="宋体" w:cs="宋体"/>
                <w:color w:val="auto"/>
                <w:szCs w:val="21"/>
                <w:highlight w:val="none"/>
                <w:lang w:val="en-US" w:eastAsia="zh-CN"/>
              </w:rPr>
              <w:t>股东</w:t>
            </w:r>
            <w:r>
              <w:rPr>
                <w:rFonts w:hint="eastAsia" w:ascii="宋体" w:hAnsi="宋体" w:eastAsia="宋体" w:cs="宋体"/>
                <w:color w:val="auto"/>
                <w:szCs w:val="21"/>
                <w:highlight w:val="none"/>
              </w:rPr>
              <w:t>信息表（格式后附）；（</w:t>
            </w:r>
            <w:r>
              <w:rPr>
                <w:rFonts w:hint="eastAsia" w:ascii="宋体" w:hAnsi="宋体" w:eastAsia="宋体" w:cs="宋体"/>
                <w:b/>
                <w:color w:val="auto"/>
                <w:szCs w:val="21"/>
                <w:highlight w:val="none"/>
              </w:rPr>
              <w:t>必须提供，否则响应文件按无效响应处理</w:t>
            </w:r>
            <w:r>
              <w:rPr>
                <w:rFonts w:hint="eastAsia" w:ascii="宋体" w:hAnsi="宋体" w:eastAsia="宋体" w:cs="宋体"/>
                <w:color w:val="auto"/>
                <w:szCs w:val="21"/>
                <w:highlight w:val="none"/>
              </w:rPr>
              <w:t>）</w:t>
            </w:r>
          </w:p>
          <w:p w14:paraId="430EBD19">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直接管理关系信息表（格式后附）；（</w:t>
            </w:r>
            <w:r>
              <w:rPr>
                <w:rFonts w:hint="eastAsia" w:ascii="宋体" w:hAnsi="宋体" w:eastAsia="宋体" w:cs="宋体"/>
                <w:b/>
                <w:color w:val="auto"/>
                <w:szCs w:val="21"/>
                <w:highlight w:val="none"/>
              </w:rPr>
              <w:t>必须提供，否则响应文件按无效响应处理</w:t>
            </w:r>
            <w:r>
              <w:rPr>
                <w:rFonts w:hint="eastAsia" w:ascii="宋体" w:hAnsi="宋体" w:eastAsia="宋体" w:cs="宋体"/>
                <w:color w:val="auto"/>
                <w:szCs w:val="21"/>
                <w:highlight w:val="none"/>
              </w:rPr>
              <w:t>）</w:t>
            </w:r>
          </w:p>
          <w:p w14:paraId="39CF6C86">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.竞标声明（格式后附）；（</w:t>
            </w:r>
            <w:r>
              <w:rPr>
                <w:rFonts w:hint="eastAsia" w:ascii="宋体" w:hAnsi="宋体" w:eastAsia="宋体" w:cs="宋体"/>
                <w:b/>
                <w:color w:val="auto"/>
                <w:szCs w:val="21"/>
                <w:highlight w:val="none"/>
              </w:rPr>
              <w:t>必须提供，否则响应文件按无效响应处理</w:t>
            </w:r>
            <w:r>
              <w:rPr>
                <w:rFonts w:hint="eastAsia" w:ascii="宋体" w:hAnsi="宋体" w:eastAsia="宋体" w:cs="宋体"/>
                <w:color w:val="auto"/>
                <w:szCs w:val="21"/>
                <w:highlight w:val="none"/>
              </w:rPr>
              <w:t>）</w:t>
            </w:r>
          </w:p>
          <w:p w14:paraId="776FF62D">
            <w:pPr>
              <w:spacing w:line="360" w:lineRule="auto"/>
              <w:jc w:val="left"/>
              <w:rPr>
                <w:rFonts w:hint="eastAsia" w:ascii="宋体" w:hAnsi="宋体" w:eastAsia="宋体" w:cs="宋体"/>
                <w:b w:val="0"/>
                <w:bCs w:val="0"/>
                <w:color w:val="auto"/>
                <w:szCs w:val="21"/>
                <w:highlight w:val="none"/>
                <w:lang w:val="en-US"/>
              </w:rPr>
            </w:pP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中小企业声明函》（格式后附）；【如属于残疾人福利性单位的提供残疾人福利性单位声明函，属于监狱企业的提供由省级以上监狱管理局、戒毒管理局（含新疆生产建设兵团）出具的属于监狱企业的证明文件】</w:t>
            </w:r>
          </w:p>
          <w:p w14:paraId="31CC890C">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rPr>
              <w:t>除磋商文件规定必须提供以外，供应商认为需要提供的其他证明材料；</w:t>
            </w:r>
          </w:p>
          <w:p w14:paraId="2E0F0CEE">
            <w:pPr>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w:t>
            </w:r>
          </w:p>
          <w:p w14:paraId="538CD6D0">
            <w:pPr>
              <w:spacing w:line="360" w:lineRule="auto"/>
              <w:ind w:firstLine="413"/>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1.以上标明“必须提供”的材料属于复印件的，必须加盖供应商</w:t>
            </w:r>
            <w:r>
              <w:rPr>
                <w:rFonts w:hint="eastAsia" w:ascii="宋体" w:hAnsi="宋体" w:eastAsia="宋体" w:cs="宋体"/>
                <w:b/>
                <w:bCs/>
                <w:color w:val="auto"/>
                <w:szCs w:val="21"/>
                <w:highlight w:val="none"/>
              </w:rPr>
              <w:t>公章</w:t>
            </w:r>
            <w:r>
              <w:rPr>
                <w:rFonts w:hint="eastAsia" w:ascii="宋体" w:hAnsi="宋体" w:eastAsia="宋体" w:cs="宋体"/>
                <w:b/>
                <w:color w:val="auto"/>
                <w:szCs w:val="21"/>
                <w:highlight w:val="none"/>
              </w:rPr>
              <w:t>，否则响应文件按无效处理。</w:t>
            </w:r>
          </w:p>
          <w:p w14:paraId="45510542">
            <w:pPr>
              <w:pStyle w:val="213"/>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2.本项目不接受联合体竞标。</w:t>
            </w:r>
          </w:p>
        </w:tc>
      </w:tr>
      <w:tr w14:paraId="22AD0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4AAC957A">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12.1.2</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244E6C3B">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报价文件</w:t>
            </w:r>
          </w:p>
          <w:p w14:paraId="4C9F7892">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1.竞标报价表（格式后附）；（</w:t>
            </w:r>
            <w:r>
              <w:rPr>
                <w:rFonts w:hint="eastAsia" w:ascii="宋体" w:hAnsi="宋体" w:eastAsia="宋体" w:cs="宋体"/>
                <w:b/>
                <w:color w:val="auto"/>
                <w:szCs w:val="21"/>
                <w:highlight w:val="none"/>
              </w:rPr>
              <w:t>必须提供，否则响应文件按无效处理</w:t>
            </w:r>
            <w:r>
              <w:rPr>
                <w:rFonts w:hint="eastAsia" w:ascii="宋体" w:hAnsi="宋体" w:eastAsia="宋体" w:cs="宋体"/>
                <w:color w:val="auto"/>
                <w:szCs w:val="21"/>
                <w:highlight w:val="none"/>
              </w:rPr>
              <w:t>）</w:t>
            </w:r>
          </w:p>
          <w:p w14:paraId="66BABA11">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2.供应商认为需要提供的其他有关资料。</w:t>
            </w:r>
          </w:p>
        </w:tc>
      </w:tr>
      <w:tr w14:paraId="2CBB4A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72366BA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12.1.3</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671A8676">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商务技术文件</w:t>
            </w:r>
          </w:p>
          <w:p w14:paraId="26EDA4E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1.无串通竞标行为的承诺函（格式后附）；（</w:t>
            </w:r>
            <w:r>
              <w:rPr>
                <w:rFonts w:hint="eastAsia" w:ascii="宋体" w:hAnsi="宋体" w:eastAsia="宋体" w:cs="宋体"/>
                <w:b/>
                <w:color w:val="auto"/>
                <w:szCs w:val="21"/>
                <w:highlight w:val="none"/>
              </w:rPr>
              <w:t>必须提供，否则响应文件按无效响应处理</w:t>
            </w:r>
            <w:r>
              <w:rPr>
                <w:rFonts w:hint="eastAsia" w:ascii="宋体" w:hAnsi="宋体" w:eastAsia="宋体" w:cs="宋体"/>
                <w:color w:val="auto"/>
                <w:szCs w:val="21"/>
                <w:highlight w:val="none"/>
              </w:rPr>
              <w:t>）</w:t>
            </w:r>
          </w:p>
          <w:p w14:paraId="6870B5BF">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2.法定代表人身份证明书及法定代表人有效身份证正反面复印件（格式后附）；（</w:t>
            </w:r>
            <w:r>
              <w:rPr>
                <w:rFonts w:hint="eastAsia" w:ascii="宋体" w:hAnsi="宋体" w:eastAsia="宋体" w:cs="宋体"/>
                <w:b/>
                <w:bCs/>
                <w:color w:val="auto"/>
                <w:szCs w:val="21"/>
                <w:highlight w:val="none"/>
              </w:rPr>
              <w:t>除自然人竞标外</w:t>
            </w:r>
            <w:r>
              <w:rPr>
                <w:rFonts w:hint="eastAsia" w:ascii="宋体" w:hAnsi="宋体" w:eastAsia="宋体" w:cs="宋体"/>
                <w:b/>
                <w:color w:val="auto"/>
                <w:szCs w:val="21"/>
                <w:highlight w:val="none"/>
              </w:rPr>
              <w:t>必须提供，否则响应文件按无效响应处理</w:t>
            </w:r>
            <w:r>
              <w:rPr>
                <w:rFonts w:hint="eastAsia" w:ascii="宋体" w:hAnsi="宋体" w:eastAsia="宋体" w:cs="宋体"/>
                <w:color w:val="auto"/>
                <w:szCs w:val="21"/>
                <w:highlight w:val="none"/>
              </w:rPr>
              <w:t>）</w:t>
            </w:r>
          </w:p>
          <w:p w14:paraId="2D61DD95">
            <w:pP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3.授权委托书及委托代理人有效身份证正反面复印件（格式后附）；（</w:t>
            </w:r>
            <w:r>
              <w:rPr>
                <w:rFonts w:hint="eastAsia" w:ascii="宋体" w:hAnsi="宋体" w:eastAsia="宋体" w:cs="宋体"/>
                <w:b/>
                <w:color w:val="auto"/>
                <w:szCs w:val="21"/>
                <w:highlight w:val="none"/>
              </w:rPr>
              <w:t>委托时必须提供，否则响应文件按无效响应处理</w:t>
            </w:r>
            <w:r>
              <w:rPr>
                <w:rFonts w:hint="eastAsia" w:ascii="宋体" w:hAnsi="宋体" w:eastAsia="宋体" w:cs="宋体"/>
                <w:color w:val="auto"/>
                <w:szCs w:val="21"/>
                <w:highlight w:val="none"/>
              </w:rPr>
              <w:t>）</w:t>
            </w:r>
          </w:p>
          <w:p w14:paraId="71E73912">
            <w:pPr>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.商务要求偏离表（格式后附）；（</w:t>
            </w:r>
            <w:r>
              <w:rPr>
                <w:rFonts w:hint="eastAsia" w:ascii="宋体" w:hAnsi="宋体" w:eastAsia="宋体" w:cs="宋体"/>
                <w:b/>
                <w:color w:val="auto"/>
                <w:szCs w:val="21"/>
                <w:highlight w:val="none"/>
              </w:rPr>
              <w:t>必须提供，否则响应文件按无效响应处理</w:t>
            </w:r>
            <w:r>
              <w:rPr>
                <w:rFonts w:hint="eastAsia" w:ascii="宋体" w:hAnsi="宋体" w:eastAsia="宋体" w:cs="宋体"/>
                <w:color w:val="auto"/>
                <w:szCs w:val="21"/>
                <w:highlight w:val="none"/>
              </w:rPr>
              <w:t>）</w:t>
            </w:r>
          </w:p>
          <w:p w14:paraId="7DC06C42">
            <w:pPr>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技术</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服务</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lang w:eastAsia="zh-CN"/>
              </w:rPr>
              <w:t>要求</w:t>
            </w:r>
            <w:r>
              <w:rPr>
                <w:rFonts w:hint="eastAsia" w:ascii="宋体" w:hAnsi="宋体" w:eastAsia="宋体" w:cs="宋体"/>
                <w:color w:val="auto"/>
                <w:szCs w:val="21"/>
                <w:highlight w:val="none"/>
              </w:rPr>
              <w:t>偏离表（格式后附）；（</w:t>
            </w:r>
            <w:r>
              <w:rPr>
                <w:rFonts w:hint="eastAsia" w:ascii="宋体" w:hAnsi="宋体" w:eastAsia="宋体" w:cs="宋体"/>
                <w:b/>
                <w:color w:val="auto"/>
                <w:szCs w:val="21"/>
                <w:highlight w:val="none"/>
              </w:rPr>
              <w:t>必须提供，否则响应文件按无效响应处理</w:t>
            </w:r>
            <w:r>
              <w:rPr>
                <w:rFonts w:hint="eastAsia" w:ascii="宋体" w:hAnsi="宋体" w:eastAsia="宋体" w:cs="宋体"/>
                <w:color w:val="auto"/>
                <w:szCs w:val="21"/>
                <w:highlight w:val="none"/>
              </w:rPr>
              <w:t>）</w:t>
            </w:r>
          </w:p>
          <w:p w14:paraId="51277523">
            <w:pPr>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rPr>
              <w:t>代理服务费承诺书</w:t>
            </w:r>
            <w:r>
              <w:rPr>
                <w:rFonts w:hint="eastAsia" w:ascii="宋体" w:hAnsi="宋体" w:eastAsia="宋体" w:cs="宋体"/>
                <w:color w:val="auto"/>
                <w:highlight w:val="none"/>
              </w:rPr>
              <w:t>（格式后附）；</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必须提供，否则响应文件按无效</w:t>
            </w:r>
            <w:r>
              <w:rPr>
                <w:rFonts w:hint="eastAsia" w:ascii="宋体" w:hAnsi="宋体" w:cs="宋体"/>
                <w:b/>
                <w:color w:val="auto"/>
                <w:szCs w:val="21"/>
                <w:highlight w:val="none"/>
                <w:lang w:val="en-US" w:eastAsia="zh-CN"/>
              </w:rPr>
              <w:t>响应</w:t>
            </w:r>
            <w:r>
              <w:rPr>
                <w:rFonts w:hint="eastAsia" w:ascii="宋体" w:hAnsi="宋体" w:eastAsia="宋体" w:cs="宋体"/>
                <w:b/>
                <w:color w:val="auto"/>
                <w:szCs w:val="21"/>
                <w:highlight w:val="none"/>
              </w:rPr>
              <w:t>处理</w:t>
            </w:r>
            <w:r>
              <w:rPr>
                <w:rFonts w:hint="eastAsia" w:ascii="宋体" w:hAnsi="宋体" w:eastAsia="宋体" w:cs="宋体"/>
                <w:color w:val="auto"/>
                <w:szCs w:val="21"/>
                <w:highlight w:val="none"/>
              </w:rPr>
              <w:t>）</w:t>
            </w:r>
          </w:p>
          <w:p w14:paraId="0DA2F185">
            <w:pPr>
              <w:spacing w:line="360" w:lineRule="auto"/>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lang w:val="en-US" w:eastAsia="zh-CN"/>
              </w:rPr>
              <w:t>.实施方案</w:t>
            </w:r>
            <w:r>
              <w:rPr>
                <w:rFonts w:hint="eastAsia" w:ascii="宋体" w:hAnsi="宋体" w:eastAsia="宋体" w:cs="宋体"/>
                <w:color w:val="auto"/>
                <w:szCs w:val="21"/>
                <w:highlight w:val="none"/>
                <w:lang w:val="en-US" w:eastAsia="zh-CN"/>
              </w:rPr>
              <w:t>（</w:t>
            </w:r>
            <w:r>
              <w:rPr>
                <w:rFonts w:hint="eastAsia" w:ascii="宋体" w:hAnsi="宋体" w:cs="宋体"/>
                <w:color w:val="auto"/>
                <w:szCs w:val="21"/>
                <w:highlight w:val="none"/>
                <w:lang w:val="en-US" w:eastAsia="zh-CN"/>
              </w:rPr>
              <w:t>包括</w:t>
            </w:r>
            <w:r>
              <w:rPr>
                <w:rFonts w:hint="eastAsia" w:ascii="宋体" w:hAnsi="宋体" w:eastAsia="宋体" w:cs="宋体"/>
                <w:color w:val="auto"/>
                <w:szCs w:val="21"/>
                <w:highlight w:val="none"/>
                <w:lang w:val="en-US" w:eastAsia="zh-CN"/>
              </w:rPr>
              <w:t>项目管理和保障方案、整体系统技术方案、运维服务承诺等</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格式自拟）</w:t>
            </w:r>
            <w:r>
              <w:rPr>
                <w:rFonts w:hint="eastAsia" w:ascii="宋体" w:hAnsi="宋体" w:eastAsia="宋体" w:cs="宋体"/>
                <w:color w:val="auto"/>
                <w:szCs w:val="21"/>
                <w:highlight w:val="none"/>
              </w:rPr>
              <w:t>；</w:t>
            </w:r>
          </w:p>
          <w:p w14:paraId="32517251">
            <w:pPr>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项目实施人员一览表（格式</w:t>
            </w:r>
            <w:r>
              <w:rPr>
                <w:rFonts w:hint="eastAsia" w:ascii="宋体" w:hAnsi="宋体" w:cs="宋体"/>
                <w:color w:val="auto"/>
                <w:szCs w:val="21"/>
                <w:highlight w:val="none"/>
                <w:lang w:val="en-US" w:eastAsia="zh-CN"/>
              </w:rPr>
              <w:t>后附</w:t>
            </w:r>
            <w:r>
              <w:rPr>
                <w:rFonts w:hint="eastAsia" w:ascii="宋体" w:hAnsi="宋体" w:eastAsia="宋体" w:cs="宋体"/>
                <w:color w:val="auto"/>
                <w:szCs w:val="21"/>
                <w:highlight w:val="none"/>
              </w:rPr>
              <w:t xml:space="preserve">）； </w:t>
            </w:r>
          </w:p>
          <w:p w14:paraId="57C1C442">
            <w:pPr>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9</w:t>
            </w:r>
            <w:r>
              <w:rPr>
                <w:rFonts w:hint="eastAsia" w:ascii="宋体" w:hAnsi="宋体" w:eastAsia="宋体" w:cs="宋体"/>
                <w:color w:val="auto"/>
                <w:szCs w:val="21"/>
                <w:highlight w:val="none"/>
              </w:rPr>
              <w:t>.对应采购需求的技术要求、商务要求提供的其他文件资料（格式自拟）；</w:t>
            </w:r>
          </w:p>
          <w:p w14:paraId="7D8C4909">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cs="宋体"/>
                <w:color w:val="auto"/>
                <w:szCs w:val="21"/>
                <w:highlight w:val="none"/>
                <w:lang w:val="en-US" w:eastAsia="zh-CN"/>
              </w:rPr>
              <w:t>0</w:t>
            </w:r>
            <w:r>
              <w:rPr>
                <w:rFonts w:hint="eastAsia" w:ascii="宋体" w:hAnsi="宋体" w:eastAsia="宋体" w:cs="宋体"/>
                <w:color w:val="auto"/>
                <w:szCs w:val="21"/>
                <w:highlight w:val="none"/>
              </w:rPr>
              <w:t>.供应商认为需要提供的其他有关资料。</w:t>
            </w:r>
          </w:p>
          <w:p w14:paraId="4635F65D">
            <w:pPr>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注：以上标明“必须提供”的材料属于复印件的，必须加盖供应商</w:t>
            </w:r>
            <w:r>
              <w:rPr>
                <w:rFonts w:hint="eastAsia" w:ascii="宋体" w:hAnsi="宋体" w:eastAsia="宋体" w:cs="宋体"/>
                <w:b/>
                <w:bCs/>
                <w:color w:val="auto"/>
                <w:szCs w:val="21"/>
                <w:highlight w:val="none"/>
              </w:rPr>
              <w:t>公章</w:t>
            </w:r>
            <w:r>
              <w:rPr>
                <w:rFonts w:hint="eastAsia" w:ascii="宋体" w:hAnsi="宋体" w:eastAsia="宋体" w:cs="宋体"/>
                <w:b/>
                <w:color w:val="auto"/>
                <w:szCs w:val="21"/>
                <w:highlight w:val="none"/>
              </w:rPr>
              <w:t>，否则响应文件按无效响应处理。</w:t>
            </w:r>
          </w:p>
        </w:tc>
      </w:tr>
      <w:tr w14:paraId="3FEE9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30FF489D">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15.2</w:t>
            </w:r>
            <w:r>
              <w:rPr>
                <w:color w:val="auto"/>
                <w:highlight w:val="none"/>
              </w:rPr>
              <w:t>﻿</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0BF24C7B">
            <w:pPr>
              <w:spacing w:line="360" w:lineRule="auto"/>
              <w:contextualSpacing/>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竞标报价包括供应商完成本项目所需的一切工作内容而发生的所有直接费用、间接费用、其它费用、税金等全部费用和供应商要求获得的利润以及应由供应商承担的义务、责任和风险所发生的一切费用，报价须含（但不限于）以下部分：</w:t>
            </w:r>
          </w:p>
          <w:p w14:paraId="07C87403">
            <w:pPr>
              <w:spacing w:line="360" w:lineRule="auto"/>
              <w:contextualSpacing/>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（1）服务的价格</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为实现服务目标所必须的配套设备及安装调试费用</w:t>
            </w:r>
            <w:r>
              <w:rPr>
                <w:rFonts w:hint="eastAsia" w:ascii="宋体" w:hAnsi="宋体" w:eastAsia="宋体" w:cs="宋体"/>
                <w:color w:val="auto"/>
                <w:szCs w:val="21"/>
                <w:highlight w:val="none"/>
              </w:rPr>
              <w:t>；</w:t>
            </w:r>
          </w:p>
          <w:p w14:paraId="2A8C3953">
            <w:pPr>
              <w:spacing w:line="360" w:lineRule="auto"/>
              <w:contextualSpacing/>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（2）必要的保险费用和各项税金；</w:t>
            </w:r>
          </w:p>
          <w:p w14:paraId="76F88FD8">
            <w:pPr>
              <w:spacing w:line="360" w:lineRule="auto"/>
              <w:contextualSpacing/>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（3）项目技术服务费等整体费用和税金；</w:t>
            </w:r>
          </w:p>
          <w:p w14:paraId="208B9126">
            <w:pPr>
              <w:spacing w:line="360" w:lineRule="auto"/>
              <w:contextualSpacing/>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（4）其他费用</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如培训、技术支持、售后服务等及实施过程中的应预见和不可预见的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4338E7EF">
            <w:pPr>
              <w:spacing w:line="360" w:lineRule="auto"/>
              <w:contextualSpacing/>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注：本项目采用固定价格，在项目执行期间服务费总价款不变，供应商在报价时已充分考虑各种价格浮动因素。</w:t>
            </w:r>
          </w:p>
        </w:tc>
      </w:tr>
      <w:tr w14:paraId="33D06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3503A2E2">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1AF2410F">
            <w:pPr>
              <w:pStyle w:val="212"/>
              <w:widowControl w:val="0"/>
              <w:spacing w:line="360" w:lineRule="auto"/>
              <w:ind w:left="283" w:hanging="28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竞标有效期：自首次响应文件提交截止之日起</w:t>
            </w:r>
            <w:r>
              <w:rPr>
                <w:rFonts w:hint="eastAsia" w:ascii="宋体" w:hAnsi="宋体" w:eastAsia="宋体" w:cs="宋体"/>
                <w:color w:val="auto"/>
                <w:sz w:val="21"/>
                <w:szCs w:val="21"/>
                <w:highlight w:val="none"/>
                <w:u w:val="single"/>
              </w:rPr>
              <w:t>90</w:t>
            </w:r>
            <w:r>
              <w:rPr>
                <w:rFonts w:hint="eastAsia" w:ascii="宋体" w:hAnsi="宋体" w:eastAsia="宋体" w:cs="宋体"/>
                <w:color w:val="auto"/>
                <w:sz w:val="21"/>
                <w:szCs w:val="21"/>
                <w:highlight w:val="none"/>
              </w:rPr>
              <w:t>日。</w:t>
            </w:r>
          </w:p>
        </w:tc>
      </w:tr>
      <w:tr w14:paraId="67D6B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13E35354">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19F87E36">
            <w:pPr>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本项目不收取磋商保证金。</w:t>
            </w:r>
          </w:p>
          <w:p w14:paraId="56EA358C">
            <w:pPr>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本项目收取磋商保证金，具体规定如下：</w:t>
            </w:r>
          </w:p>
          <w:p w14:paraId="13EB5907">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磋商保证金人民币</w:t>
            </w:r>
            <w:r>
              <w:rPr>
                <w:rFonts w:hint="eastAsia" w:ascii="宋体" w:hAnsi="宋体" w:cs="宋体"/>
                <w:b/>
                <w:bCs/>
                <w:color w:val="auto"/>
                <w:szCs w:val="21"/>
                <w:highlight w:val="none"/>
                <w:u w:val="single"/>
                <w:lang w:val="en-US" w:eastAsia="zh-CN"/>
              </w:rPr>
              <w:t>/</w:t>
            </w:r>
            <w:r>
              <w:rPr>
                <w:rFonts w:hint="eastAsia" w:ascii="宋体" w:hAnsi="宋体" w:eastAsia="宋体" w:cs="宋体"/>
                <w:b/>
                <w:bCs/>
                <w:color w:val="auto"/>
                <w:szCs w:val="21"/>
                <w:highlight w:val="none"/>
              </w:rPr>
              <w:t>元。</w:t>
            </w:r>
          </w:p>
          <w:p w14:paraId="116F13A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磋商保证金的交纳方式：银行转账、支票、汇票、本票或者银行、保险机构出具的保函，禁止采用现钞方式。采用银行转账方式的，在响应文件提交截止时间前交至指定账户并且到账（</w:t>
            </w:r>
            <w:r>
              <w:rPr>
                <w:rFonts w:hint="eastAsia" w:ascii="宋体" w:hAnsi="宋体" w:eastAsia="宋体" w:cs="宋体"/>
                <w:color w:val="auto"/>
                <w:szCs w:val="21"/>
                <w:highlight w:val="none"/>
              </w:rPr>
              <w:t>账户名称：云之龙咨询集团有限公司梧州分公司</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开户银行：中信银行股份有限公司南宁园湖支行</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银行账号：8113001013700074625</w:t>
            </w:r>
            <w:r>
              <w:rPr>
                <w:rFonts w:hint="eastAsia" w:ascii="宋体" w:hAnsi="宋体" w:eastAsia="宋体" w:cs="宋体"/>
                <w:color w:val="auto"/>
                <w:szCs w:val="21"/>
                <w:highlight w:val="none"/>
              </w:rPr>
              <w:t>）；采用支票、汇票、本票或者保函等方式的，在响应文件提交截止时间前，供应商必须提交单独密封的支票、汇票、本票或者保函原件。</w:t>
            </w:r>
            <w:r>
              <w:rPr>
                <w:rFonts w:hint="eastAsia" w:ascii="宋体" w:hAnsi="宋体" w:eastAsia="宋体" w:cs="宋体"/>
                <w:b/>
                <w:bCs/>
                <w:color w:val="auto"/>
                <w:szCs w:val="21"/>
                <w:highlight w:val="none"/>
              </w:rPr>
              <w:t>否则视为无效磋商保证金。</w:t>
            </w:r>
          </w:p>
          <w:p w14:paraId="5CCA2F1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相关要求：</w:t>
            </w:r>
          </w:p>
          <w:p w14:paraId="0A558E60">
            <w:pPr>
              <w:numPr>
                <w:ilvl w:val="0"/>
                <w:numId w:val="1"/>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磋商保证金采用银行转账交纳方式的，在响应文件提交截止时间前交至指定账户并且到账，供应商应将银行转账底单的复印件作为磋商保证金提交凭证，放置于商务技术文件中，</w:t>
            </w:r>
            <w:r>
              <w:rPr>
                <w:rFonts w:hint="eastAsia" w:ascii="宋体" w:hAnsi="宋体" w:eastAsia="宋体" w:cs="宋体"/>
                <w:b/>
                <w:bCs/>
                <w:color w:val="auto"/>
                <w:szCs w:val="21"/>
                <w:highlight w:val="none"/>
              </w:rPr>
              <w:t>否则响应文件按无效处理。</w:t>
            </w:r>
          </w:p>
          <w:p w14:paraId="7309B3A5">
            <w:pPr>
              <w:numPr>
                <w:ilvl w:val="0"/>
                <w:numId w:val="1"/>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磋商保证金采用支票、汇票、本票或者银行、保险机构出具的保函交纳方式的，供应商应将支票、汇票、本票或者银行、保险机构出具的保函的复印件作为磋商保证金提交凭证，放置于商务技术文件，</w:t>
            </w:r>
            <w:r>
              <w:rPr>
                <w:rFonts w:hint="eastAsia" w:ascii="宋体" w:hAnsi="宋体" w:eastAsia="宋体" w:cs="宋体"/>
                <w:b/>
                <w:bCs/>
                <w:color w:val="auto"/>
                <w:szCs w:val="21"/>
                <w:highlight w:val="none"/>
              </w:rPr>
              <w:t>否则响应文件按无效处理</w:t>
            </w:r>
            <w:r>
              <w:rPr>
                <w:rFonts w:hint="eastAsia" w:ascii="宋体" w:hAnsi="宋体" w:eastAsia="宋体" w:cs="宋体"/>
                <w:color w:val="auto"/>
                <w:szCs w:val="21"/>
                <w:highlight w:val="none"/>
              </w:rPr>
              <w:t>。供应商必须在响应文件提交截止时间前采用现场或邮寄方式（注：支票、汇票、本票或者银行、保险机构出具的保函原件可邮寄，邮寄地址：</w:t>
            </w:r>
            <w:r>
              <w:rPr>
                <w:rFonts w:hint="eastAsia" w:ascii="宋体" w:hAnsi="宋体" w:cs="宋体"/>
                <w:color w:val="auto"/>
                <w:szCs w:val="21"/>
                <w:highlight w:val="none"/>
                <w:lang w:val="en-US" w:eastAsia="zh-CN"/>
              </w:rPr>
              <w:t>藤县河东安泰五街62号</w:t>
            </w:r>
            <w:r>
              <w:rPr>
                <w:rFonts w:hint="eastAsia" w:ascii="宋体" w:hAnsi="宋体" w:eastAsia="宋体" w:cs="宋体"/>
                <w:color w:val="auto"/>
                <w:szCs w:val="21"/>
                <w:highlight w:val="none"/>
              </w:rPr>
              <w:t>云之龙咨询集团有限公司，联系人：</w:t>
            </w:r>
            <w:r>
              <w:rPr>
                <w:rFonts w:hint="eastAsia" w:ascii="宋体" w:hAnsi="宋体" w:cs="宋体"/>
                <w:color w:val="auto"/>
                <w:szCs w:val="21"/>
                <w:highlight w:val="none"/>
                <w:lang w:eastAsia="zh-CN"/>
              </w:rPr>
              <w:t>姚国铭</w:t>
            </w:r>
            <w:r>
              <w:rPr>
                <w:rFonts w:hint="eastAsia" w:ascii="宋体" w:hAnsi="宋体" w:eastAsia="宋体" w:cs="宋体"/>
                <w:color w:val="auto"/>
                <w:szCs w:val="21"/>
                <w:highlight w:val="none"/>
              </w:rPr>
              <w:t>、陈丽年，电话：0774-8219456，但邮寄的风险由供应商自行承担）将单独密封的支票、汇票、本票或者银行、保险机构出具的保函原件提交给采购人或者采购代理机构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并妥善保管。</w:t>
            </w:r>
          </w:p>
          <w:p w14:paraId="5F3462A3">
            <w:pPr>
              <w:numPr>
                <w:ilvl w:val="0"/>
                <w:numId w:val="1"/>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供应商为联合体的，可以由联合体中的一方或者多方共同交纳磋商保证金</w:t>
            </w:r>
            <w:r>
              <w:rPr>
                <w:rFonts w:hint="eastAsia" w:ascii="宋体" w:hAnsi="宋体" w:eastAsia="宋体" w:cs="宋体"/>
                <w:color w:val="auto"/>
                <w:szCs w:val="21"/>
                <w:highlight w:val="none"/>
              </w:rPr>
              <w:t>，其交纳的保证金对联合体各方均具有约束力。</w:t>
            </w:r>
          </w:p>
          <w:p w14:paraId="5045F571">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备注：</w:t>
            </w:r>
          </w:p>
          <w:p w14:paraId="0076FE0C">
            <w:pPr>
              <w:numPr>
                <w:ilvl w:val="0"/>
                <w:numId w:val="2"/>
              </w:num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磋商保证金在响应文件提交截止时间后提交的，或者不按规定交纳方式交纳的，或者未足额交纳的（包含保函额度不足的），视为无效磋商保证金。</w:t>
            </w:r>
          </w:p>
          <w:p w14:paraId="7F69FE44">
            <w:pPr>
              <w:numPr>
                <w:ilvl w:val="0"/>
                <w:numId w:val="2"/>
              </w:num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供应商采用现钞方式或者从个人账户转出的磋商保证金，视为无效磋商保证金。</w:t>
            </w:r>
          </w:p>
          <w:p w14:paraId="5A440E52">
            <w:pPr>
              <w:numPr>
                <w:ilvl w:val="0"/>
                <w:numId w:val="2"/>
              </w:num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支票、汇票或者本票出现无效或者背书情形的，视为无效磋商保证金。</w:t>
            </w:r>
          </w:p>
          <w:p w14:paraId="664C71DF">
            <w:pPr>
              <w:numPr>
                <w:ilvl w:val="0"/>
                <w:numId w:val="2"/>
              </w:num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保函有效期低于竞标有效期的，视为无效磋商保证金。</w:t>
            </w:r>
          </w:p>
          <w:p w14:paraId="53187B02">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5.采用银行、保险机构出具保函的，必须为无条件保函，否则视为无效磋商保证金。</w:t>
            </w:r>
          </w:p>
        </w:tc>
      </w:tr>
      <w:tr w14:paraId="70BC5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767EE19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20.1</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398167C0">
            <w:pPr>
              <w:spacing w:line="360" w:lineRule="auto"/>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响应文件提交起止时间：</w:t>
            </w:r>
            <w:r>
              <w:rPr>
                <w:rFonts w:hint="eastAsia" w:ascii="宋体" w:hAnsi="宋体" w:eastAsia="宋体" w:cs="宋体"/>
                <w:color w:val="auto"/>
                <w:szCs w:val="21"/>
                <w:highlight w:val="none"/>
                <w:u w:val="single"/>
              </w:rPr>
              <w:t>202</w:t>
            </w:r>
            <w:r>
              <w:rPr>
                <w:rFonts w:hint="eastAsia" w:ascii="宋体" w:hAnsi="宋体" w:eastAsia="宋体" w:cs="宋体"/>
                <w:color w:val="auto"/>
                <w:szCs w:val="21"/>
                <w:highlight w:val="none"/>
                <w:u w:val="single"/>
                <w:lang w:val="en-US" w:eastAsia="zh-CN"/>
              </w:rPr>
              <w:t>6</w:t>
            </w:r>
            <w:r>
              <w:rPr>
                <w:rFonts w:hint="eastAsia" w:ascii="宋体" w:hAnsi="宋体" w:eastAsia="宋体" w:cs="宋体"/>
                <w:color w:val="auto"/>
                <w:szCs w:val="21"/>
                <w:highlight w:val="none"/>
                <w:u w:val="single"/>
              </w:rPr>
              <w:t>年</w:t>
            </w:r>
            <w:r>
              <w:rPr>
                <w:rFonts w:hint="eastAsia" w:ascii="宋体" w:hAnsi="宋体" w:cs="宋体"/>
                <w:color w:val="auto"/>
                <w:szCs w:val="21"/>
                <w:highlight w:val="none"/>
                <w:u w:val="single"/>
                <w:lang w:val="en-US" w:eastAsia="zh-CN"/>
              </w:rPr>
              <w:t>7</w:t>
            </w:r>
            <w:r>
              <w:rPr>
                <w:rFonts w:hint="eastAsia" w:ascii="宋体" w:hAnsi="宋体" w:eastAsia="宋体" w:cs="宋体"/>
                <w:color w:val="auto"/>
                <w:szCs w:val="21"/>
                <w:highlight w:val="none"/>
                <w:u w:val="single"/>
              </w:rPr>
              <w:t>月</w:t>
            </w:r>
            <w:r>
              <w:rPr>
                <w:rFonts w:hint="eastAsia" w:ascii="宋体" w:hAnsi="宋体" w:cs="宋体"/>
                <w:color w:val="auto"/>
                <w:szCs w:val="21"/>
                <w:highlight w:val="none"/>
                <w:u w:val="single"/>
                <w:lang w:val="en-US" w:eastAsia="zh-CN"/>
              </w:rPr>
              <w:t>28</w:t>
            </w:r>
            <w:r>
              <w:rPr>
                <w:rFonts w:hint="eastAsia" w:ascii="宋体" w:hAnsi="宋体" w:eastAsia="宋体" w:cs="宋体"/>
                <w:color w:val="auto"/>
                <w:szCs w:val="21"/>
                <w:highlight w:val="none"/>
                <w:u w:val="single"/>
              </w:rPr>
              <w:t>日</w:t>
            </w:r>
            <w:r>
              <w:rPr>
                <w:rFonts w:hint="eastAsia" w:ascii="宋体" w:hAnsi="宋体" w:cs="宋体"/>
                <w:color w:val="auto"/>
                <w:szCs w:val="21"/>
                <w:highlight w:val="none"/>
                <w:u w:val="single"/>
                <w:lang w:val="en-US" w:eastAsia="zh-CN"/>
              </w:rPr>
              <w:t>08</w:t>
            </w:r>
            <w:r>
              <w:rPr>
                <w:rFonts w:hint="eastAsia" w:ascii="宋体" w:hAnsi="宋体" w:eastAsia="宋体" w:cs="宋体"/>
                <w:color w:val="auto"/>
                <w:szCs w:val="21"/>
                <w:highlight w:val="none"/>
                <w:u w:val="single"/>
              </w:rPr>
              <w:t>时</w:t>
            </w:r>
            <w:r>
              <w:rPr>
                <w:rFonts w:hint="eastAsia" w:ascii="宋体" w:hAnsi="宋体" w:eastAsia="宋体" w:cs="宋体"/>
                <w:color w:val="auto"/>
                <w:szCs w:val="21"/>
                <w:highlight w:val="none"/>
                <w:u w:val="single"/>
                <w:lang w:val="en-US" w:eastAsia="zh-CN"/>
              </w:rPr>
              <w:t>30</w:t>
            </w:r>
            <w:r>
              <w:rPr>
                <w:rFonts w:hint="eastAsia" w:ascii="宋体" w:hAnsi="宋体" w:eastAsia="宋体" w:cs="宋体"/>
                <w:color w:val="auto"/>
                <w:szCs w:val="21"/>
                <w:highlight w:val="none"/>
                <w:u w:val="single"/>
              </w:rPr>
              <w:t>分至</w:t>
            </w:r>
            <w:r>
              <w:rPr>
                <w:rFonts w:hint="eastAsia" w:ascii="宋体" w:hAnsi="宋体" w:cs="宋体"/>
                <w:color w:val="auto"/>
                <w:szCs w:val="21"/>
                <w:highlight w:val="none"/>
                <w:u w:val="single"/>
                <w:lang w:val="en-US" w:eastAsia="zh-CN"/>
              </w:rPr>
              <w:t>9</w:t>
            </w:r>
            <w:r>
              <w:rPr>
                <w:rFonts w:hint="eastAsia" w:ascii="宋体" w:hAnsi="宋体" w:eastAsia="宋体" w:cs="宋体"/>
                <w:color w:val="auto"/>
                <w:szCs w:val="21"/>
                <w:highlight w:val="none"/>
                <w:u w:val="single"/>
              </w:rPr>
              <w:t>时</w:t>
            </w:r>
            <w:r>
              <w:rPr>
                <w:rFonts w:hint="eastAsia" w:ascii="宋体" w:hAnsi="宋体" w:eastAsia="宋体" w:cs="宋体"/>
                <w:color w:val="auto"/>
                <w:szCs w:val="21"/>
                <w:highlight w:val="none"/>
                <w:u w:val="single"/>
                <w:lang w:val="en-US" w:eastAsia="zh-CN"/>
              </w:rPr>
              <w:t>00</w:t>
            </w:r>
            <w:r>
              <w:rPr>
                <w:rFonts w:hint="eastAsia" w:ascii="宋体" w:hAnsi="宋体" w:eastAsia="宋体" w:cs="宋体"/>
                <w:color w:val="auto"/>
                <w:szCs w:val="21"/>
                <w:highlight w:val="none"/>
                <w:u w:val="single"/>
              </w:rPr>
              <w:t>分</w:t>
            </w:r>
            <w:r>
              <w:rPr>
                <w:rFonts w:hint="eastAsia" w:ascii="宋体" w:hAnsi="宋体" w:eastAsia="宋体" w:cs="宋体"/>
                <w:bCs/>
                <w:color w:val="auto"/>
                <w:szCs w:val="21"/>
                <w:highlight w:val="none"/>
                <w:u w:val="single"/>
              </w:rPr>
              <w:t>（</w:t>
            </w:r>
            <w:r>
              <w:rPr>
                <w:rFonts w:hint="eastAsia" w:ascii="宋体" w:hAnsi="宋体" w:eastAsia="宋体" w:cs="宋体"/>
                <w:bCs/>
                <w:color w:val="auto"/>
                <w:szCs w:val="21"/>
                <w:highlight w:val="none"/>
              </w:rPr>
              <w:t>北京时间）</w:t>
            </w:r>
            <w:r>
              <w:rPr>
                <w:rFonts w:hint="eastAsia" w:ascii="宋体" w:hAnsi="宋体" w:eastAsia="宋体" w:cs="宋体"/>
                <w:color w:val="auto"/>
                <w:szCs w:val="21"/>
                <w:highlight w:val="none"/>
              </w:rPr>
              <w:t>。</w:t>
            </w:r>
          </w:p>
          <w:p w14:paraId="51E44FE8">
            <w:pPr>
              <w:spacing w:line="360" w:lineRule="auto"/>
              <w:contextualSpacing/>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响应文件提交截止时间：详见竞争性磋商公告。</w:t>
            </w:r>
          </w:p>
          <w:p w14:paraId="64D06630">
            <w:pPr>
              <w:spacing w:line="360" w:lineRule="auto"/>
              <w:contextualSpacing/>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响应文件提交地点：详见竞争性磋商公告。</w:t>
            </w:r>
          </w:p>
        </w:tc>
      </w:tr>
      <w:tr w14:paraId="498D3D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73063BE4">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23.1</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67409CE7">
            <w:pPr>
              <w:spacing w:line="360" w:lineRule="auto"/>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磋商小组人数：</w:t>
            </w:r>
            <w:r>
              <w:rPr>
                <w:rFonts w:hint="eastAsia" w:ascii="宋体" w:hAnsi="宋体" w:eastAsia="宋体" w:cs="宋体"/>
                <w:color w:val="auto"/>
                <w:szCs w:val="21"/>
                <w:highlight w:val="none"/>
                <w:u w:val="single"/>
              </w:rPr>
              <w:t>3</w:t>
            </w:r>
            <w:r>
              <w:rPr>
                <w:rFonts w:hint="eastAsia" w:ascii="宋体" w:hAnsi="宋体" w:eastAsia="宋体" w:cs="宋体"/>
                <w:color w:val="auto"/>
                <w:szCs w:val="21"/>
                <w:highlight w:val="none"/>
              </w:rPr>
              <w:t>人。</w:t>
            </w:r>
          </w:p>
        </w:tc>
      </w:tr>
      <w:tr w14:paraId="2E07E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0460E81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24</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68D577B5">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首次响应文件开启时间详见“竞争性磋商公告”。</w:t>
            </w:r>
          </w:p>
        </w:tc>
      </w:tr>
      <w:tr w14:paraId="73EC5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4" w:hRule="atLeast"/>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33E4DDCF">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25.3</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62BB8166">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商务要求评审中允许负偏离的条款数为</w:t>
            </w:r>
            <w:r>
              <w:rPr>
                <w:rFonts w:hint="eastAsia" w:ascii="宋体" w:hAnsi="宋体" w:eastAsia="宋体" w:cs="宋体"/>
                <w:color w:val="auto"/>
                <w:szCs w:val="21"/>
                <w:highlight w:val="none"/>
                <w:u w:val="single"/>
              </w:rPr>
              <w:t>0</w:t>
            </w:r>
            <w:r>
              <w:rPr>
                <w:rFonts w:hint="eastAsia" w:ascii="宋体" w:hAnsi="宋体" w:eastAsia="宋体" w:cs="宋体"/>
                <w:color w:val="auto"/>
                <w:szCs w:val="21"/>
                <w:highlight w:val="none"/>
              </w:rPr>
              <w:t>项。</w:t>
            </w:r>
          </w:p>
          <w:p w14:paraId="7BBC3660">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技术要求评审中允许负偏离的条款数为</w:t>
            </w:r>
            <w:r>
              <w:rPr>
                <w:rFonts w:hint="eastAsia" w:ascii="宋体" w:hAnsi="宋体" w:cs="宋体"/>
                <w:color w:val="auto"/>
                <w:szCs w:val="21"/>
                <w:highlight w:val="none"/>
                <w:u w:val="single"/>
                <w:lang w:val="en-US" w:eastAsia="zh-CN"/>
              </w:rPr>
              <w:t>0</w:t>
            </w:r>
            <w:r>
              <w:rPr>
                <w:rFonts w:hint="eastAsia" w:ascii="宋体" w:hAnsi="宋体" w:eastAsia="宋体" w:cs="宋体"/>
                <w:color w:val="auto"/>
                <w:szCs w:val="21"/>
                <w:highlight w:val="none"/>
              </w:rPr>
              <w:t>项。</w:t>
            </w:r>
          </w:p>
        </w:tc>
      </w:tr>
      <w:tr w14:paraId="12A77C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746A21F4">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27.1</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326C4B91">
            <w:pPr>
              <w:spacing w:line="360" w:lineRule="auto"/>
              <w:rPr>
                <w:rFonts w:hint="eastAsia" w:ascii="宋体" w:hAnsi="宋体" w:eastAsia="宋体" w:cs="宋体"/>
                <w:color w:val="auto"/>
                <w:szCs w:val="21"/>
                <w:highlight w:val="none"/>
              </w:rPr>
            </w:pPr>
            <w:r>
              <w:rPr>
                <w:rFonts w:ascii="Wingdings" w:hAnsi="Wingdings" w:eastAsia="Wingdings" w:cs="Wingdings"/>
                <w:color w:val="auto"/>
                <w:szCs w:val="21"/>
                <w:highlight w:val="none"/>
              </w:rPr>
              <w:sym w:font="Wingdings" w:char="00FE"/>
            </w:r>
            <w:r>
              <w:rPr>
                <w:rFonts w:hint="eastAsia" w:ascii="宋体" w:hAnsi="宋体" w:eastAsia="宋体" w:cs="宋体"/>
                <w:color w:val="auto"/>
                <w:szCs w:val="21"/>
                <w:highlight w:val="none"/>
              </w:rPr>
              <w:t>本项目不收取履约保证金。</w:t>
            </w:r>
          </w:p>
          <w:p w14:paraId="1D6792CF">
            <w:pPr>
              <w:spacing w:line="360" w:lineRule="auto"/>
              <w:rPr>
                <w:rFonts w:hint="eastAsia" w:ascii="宋体" w:hAnsi="宋体"/>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rPr>
              <w:t>本项目收取履约保证金，具体规定如下：</w:t>
            </w:r>
          </w:p>
          <w:p w14:paraId="2977D915">
            <w:pPr>
              <w:spacing w:line="360" w:lineRule="auto"/>
              <w:rPr>
                <w:rFonts w:hint="eastAsia" w:ascii="宋体" w:hAnsi="宋体"/>
                <w:color w:val="auto"/>
                <w:szCs w:val="21"/>
                <w:highlight w:val="none"/>
              </w:rPr>
            </w:pPr>
            <w:r>
              <w:rPr>
                <w:rFonts w:hint="eastAsia" w:ascii="宋体" w:hAnsi="宋体"/>
                <w:color w:val="auto"/>
                <w:szCs w:val="21"/>
                <w:highlight w:val="none"/>
              </w:rPr>
              <w:t>履约保证金金额：</w:t>
            </w:r>
            <w:r>
              <w:rPr>
                <w:rFonts w:hint="eastAsia" w:ascii="宋体" w:hAnsi="宋体" w:cs="宋体"/>
                <w:color w:val="auto"/>
                <w:szCs w:val="21"/>
                <w:highlight w:val="none"/>
                <w:u w:val="none"/>
                <w:lang w:val="en-US" w:eastAsia="zh-CN"/>
              </w:rPr>
              <w:t>项目成交金额2%</w:t>
            </w:r>
            <w:r>
              <w:rPr>
                <w:rFonts w:hint="eastAsia" w:ascii="宋体" w:hAnsi="宋体"/>
                <w:color w:val="auto"/>
                <w:szCs w:val="21"/>
                <w:highlight w:val="none"/>
              </w:rPr>
              <w:t>。</w:t>
            </w:r>
          </w:p>
          <w:p w14:paraId="75CFB1D9">
            <w:pPr>
              <w:spacing w:line="360" w:lineRule="auto"/>
              <w:rPr>
                <w:rFonts w:hint="eastAsia" w:ascii="宋体" w:hAnsi="宋体"/>
                <w:color w:val="auto"/>
                <w:szCs w:val="21"/>
                <w:highlight w:val="none"/>
              </w:rPr>
            </w:pPr>
            <w:r>
              <w:rPr>
                <w:rFonts w:hint="eastAsia" w:ascii="宋体" w:hAnsi="宋体"/>
                <w:color w:val="auto"/>
                <w:szCs w:val="21"/>
                <w:highlight w:val="none"/>
              </w:rPr>
              <w:t>履约保证金递交方式：银行转账、支票、汇票、本票或者银行、保险机构出具的保函等非现金方式。</w:t>
            </w:r>
          </w:p>
          <w:p w14:paraId="3BE6CD04">
            <w:pPr>
              <w:spacing w:line="360" w:lineRule="auto"/>
              <w:rPr>
                <w:rFonts w:hint="eastAsia" w:ascii="宋体" w:hAnsi="宋体"/>
                <w:color w:val="auto"/>
                <w:szCs w:val="21"/>
                <w:highlight w:val="none"/>
              </w:rPr>
            </w:pPr>
            <w:r>
              <w:rPr>
                <w:rFonts w:hint="eastAsia" w:ascii="宋体" w:hAnsi="宋体"/>
                <w:color w:val="auto"/>
                <w:szCs w:val="21"/>
                <w:highlight w:val="none"/>
              </w:rPr>
              <w:t>履约保证金缴纳期限:</w:t>
            </w:r>
            <w:r>
              <w:rPr>
                <w:color w:val="auto"/>
                <w:highlight w:val="none"/>
              </w:rPr>
              <w:t xml:space="preserve"> </w:t>
            </w:r>
            <w:r>
              <w:rPr>
                <w:rFonts w:hint="eastAsia"/>
                <w:color w:val="auto"/>
                <w:highlight w:val="none"/>
                <w:u w:val="single"/>
                <w:lang w:eastAsia="zh-CN"/>
              </w:rPr>
              <w:t>采购合同</w:t>
            </w:r>
            <w:r>
              <w:rPr>
                <w:rFonts w:hint="eastAsia" w:ascii="宋体" w:hAnsi="宋体"/>
                <w:iCs/>
                <w:color w:val="auto"/>
                <w:szCs w:val="21"/>
                <w:highlight w:val="none"/>
                <w:u w:val="single"/>
              </w:rPr>
              <w:t>签订前</w:t>
            </w:r>
            <w:r>
              <w:rPr>
                <w:rFonts w:hint="eastAsia" w:ascii="宋体" w:hAnsi="宋体"/>
                <w:iCs/>
                <w:color w:val="auto"/>
                <w:szCs w:val="21"/>
                <w:highlight w:val="none"/>
              </w:rPr>
              <w:t>。</w:t>
            </w:r>
          </w:p>
          <w:p w14:paraId="2053DD9C">
            <w:pPr>
              <w:spacing w:line="360" w:lineRule="auto"/>
              <w:rPr>
                <w:rFonts w:hint="eastAsia" w:ascii="宋体" w:hAnsi="宋体"/>
                <w:color w:val="auto"/>
                <w:szCs w:val="21"/>
                <w:highlight w:val="none"/>
                <w:u w:val="single"/>
              </w:rPr>
            </w:pPr>
            <w:r>
              <w:rPr>
                <w:rFonts w:hint="eastAsia" w:ascii="宋体" w:hAnsi="宋体"/>
                <w:color w:val="auto"/>
                <w:szCs w:val="21"/>
                <w:highlight w:val="none"/>
              </w:rPr>
              <w:t>履约保证金退付方式、时间及条件：</w:t>
            </w:r>
            <w:r>
              <w:rPr>
                <w:rFonts w:hint="eastAsia" w:ascii="宋体" w:hAnsi="宋体"/>
                <w:color w:val="auto"/>
                <w:szCs w:val="21"/>
                <w:highlight w:val="none"/>
                <w:u w:val="single"/>
              </w:rPr>
              <w:t xml:space="preserve"> 由</w:t>
            </w:r>
            <w:r>
              <w:rPr>
                <w:rFonts w:hint="eastAsia" w:ascii="宋体" w:hAnsi="宋体"/>
                <w:color w:val="auto"/>
                <w:szCs w:val="21"/>
                <w:highlight w:val="none"/>
                <w:u w:val="single"/>
                <w:lang w:val="en-US" w:eastAsia="zh-CN"/>
              </w:rPr>
              <w:t>成交</w:t>
            </w:r>
            <w:r>
              <w:rPr>
                <w:rFonts w:hint="eastAsia" w:ascii="宋体" w:hAnsi="宋体"/>
                <w:color w:val="auto"/>
                <w:szCs w:val="21"/>
                <w:highlight w:val="none"/>
                <w:u w:val="single"/>
              </w:rPr>
              <w:t>供应商向履约保证金收取单位提供《采购项目合同验收书》，保证金收取单位在收到合格材料后5个工作日内办理退还手续（不计利息） 。</w:t>
            </w:r>
          </w:p>
          <w:p w14:paraId="4C696444">
            <w:pPr>
              <w:spacing w:line="360" w:lineRule="auto"/>
              <w:rPr>
                <w:rFonts w:hint="eastAsia" w:ascii="宋体" w:hAnsi="宋体"/>
                <w:color w:val="auto"/>
                <w:szCs w:val="21"/>
                <w:highlight w:val="none"/>
              </w:rPr>
            </w:pPr>
            <w:r>
              <w:rPr>
                <w:rFonts w:hint="eastAsia" w:ascii="宋体" w:hAnsi="宋体"/>
                <w:color w:val="auto"/>
                <w:szCs w:val="21"/>
                <w:highlight w:val="none"/>
              </w:rPr>
              <w:t>履约保证金指定账户：</w:t>
            </w:r>
          </w:p>
          <w:p w14:paraId="02386032">
            <w:pPr>
              <w:spacing w:line="360" w:lineRule="auto"/>
              <w:contextualSpacing/>
              <w:rPr>
                <w:rFonts w:hint="eastAsia" w:ascii="宋体" w:hAnsi="宋体" w:cs="宋体"/>
                <w:color w:val="auto"/>
                <w:szCs w:val="21"/>
                <w:highlight w:val="none"/>
              </w:rPr>
            </w:pPr>
            <w:r>
              <w:rPr>
                <w:rFonts w:hint="eastAsia" w:ascii="宋体" w:hAnsi="宋体" w:cs="宋体"/>
                <w:color w:val="auto"/>
                <w:szCs w:val="21"/>
                <w:highlight w:val="none"/>
              </w:rPr>
              <w:t>开户名称：</w:t>
            </w:r>
            <w:r>
              <w:rPr>
                <w:rFonts w:hint="eastAsia" w:ascii="宋体" w:hAnsi="宋体" w:cs="宋体"/>
                <w:color w:val="auto"/>
                <w:szCs w:val="21"/>
                <w:highlight w:val="none"/>
                <w:u w:val="single"/>
                <w:lang w:eastAsia="zh-CN"/>
              </w:rPr>
              <w:t>（</w:t>
            </w:r>
            <w:r>
              <w:rPr>
                <w:rFonts w:hint="eastAsia" w:ascii="宋体" w:hAnsi="宋体" w:cs="宋体"/>
                <w:color w:val="auto"/>
                <w:szCs w:val="21"/>
                <w:highlight w:val="none"/>
                <w:u w:val="single"/>
                <w:lang w:val="en-US" w:eastAsia="zh-CN"/>
              </w:rPr>
              <w:t>由采购人在成交后提供</w:t>
            </w:r>
            <w:r>
              <w:rPr>
                <w:rFonts w:hint="eastAsia" w:ascii="宋体" w:hAnsi="宋体" w:cs="宋体"/>
                <w:color w:val="auto"/>
                <w:szCs w:val="21"/>
                <w:highlight w:val="none"/>
                <w:u w:val="single"/>
                <w:lang w:eastAsia="zh-CN"/>
              </w:rPr>
              <w:t>）</w:t>
            </w:r>
          </w:p>
          <w:p w14:paraId="2C96DFD1">
            <w:pPr>
              <w:spacing w:line="360" w:lineRule="auto"/>
              <w:contextualSpacing/>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开户银行：</w:t>
            </w:r>
            <w:r>
              <w:rPr>
                <w:rFonts w:hint="eastAsia" w:ascii="宋体" w:hAnsi="宋体" w:cs="宋体"/>
                <w:color w:val="auto"/>
                <w:szCs w:val="21"/>
                <w:highlight w:val="none"/>
                <w:u w:val="single"/>
                <w:lang w:eastAsia="zh-CN"/>
              </w:rPr>
              <w:t>（</w:t>
            </w:r>
            <w:r>
              <w:rPr>
                <w:rFonts w:hint="eastAsia" w:ascii="宋体" w:hAnsi="宋体" w:cs="宋体"/>
                <w:color w:val="auto"/>
                <w:szCs w:val="21"/>
                <w:highlight w:val="none"/>
                <w:u w:val="single"/>
                <w:lang w:val="en-US" w:eastAsia="zh-CN"/>
              </w:rPr>
              <w:t>由采购人在成交后提供</w:t>
            </w:r>
            <w:r>
              <w:rPr>
                <w:rFonts w:hint="eastAsia" w:ascii="宋体" w:hAnsi="宋体" w:cs="宋体"/>
                <w:color w:val="auto"/>
                <w:szCs w:val="21"/>
                <w:highlight w:val="none"/>
                <w:u w:val="single"/>
                <w:lang w:eastAsia="zh-CN"/>
              </w:rPr>
              <w:t>）</w:t>
            </w:r>
          </w:p>
          <w:p w14:paraId="6CA5809B">
            <w:pPr>
              <w:spacing w:line="360" w:lineRule="auto"/>
              <w:contextualSpacing/>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银行账号：</w:t>
            </w:r>
            <w:r>
              <w:rPr>
                <w:rFonts w:hint="eastAsia" w:ascii="宋体" w:hAnsi="宋体" w:cs="宋体"/>
                <w:color w:val="auto"/>
                <w:szCs w:val="21"/>
                <w:highlight w:val="none"/>
                <w:u w:val="single"/>
                <w:lang w:eastAsia="zh-CN"/>
              </w:rPr>
              <w:t>（</w:t>
            </w:r>
            <w:r>
              <w:rPr>
                <w:rFonts w:hint="eastAsia" w:ascii="宋体" w:hAnsi="宋体" w:cs="宋体"/>
                <w:color w:val="auto"/>
                <w:szCs w:val="21"/>
                <w:highlight w:val="none"/>
                <w:u w:val="single"/>
                <w:lang w:val="en-US" w:eastAsia="zh-CN"/>
              </w:rPr>
              <w:t>由采购人在成交后提供</w:t>
            </w:r>
            <w:r>
              <w:rPr>
                <w:rFonts w:hint="eastAsia" w:ascii="宋体" w:hAnsi="宋体" w:cs="宋体"/>
                <w:color w:val="auto"/>
                <w:szCs w:val="21"/>
                <w:highlight w:val="none"/>
                <w:u w:val="single"/>
                <w:lang w:eastAsia="zh-CN"/>
              </w:rPr>
              <w:t>）</w:t>
            </w:r>
          </w:p>
          <w:p w14:paraId="2443A7C8">
            <w:pPr>
              <w:spacing w:line="360" w:lineRule="auto"/>
              <w:jc w:val="left"/>
              <w:rPr>
                <w:rFonts w:hint="eastAsia" w:ascii="宋体" w:hAnsi="宋体" w:cs="Courier New"/>
                <w:color w:val="auto"/>
                <w:szCs w:val="21"/>
                <w:highlight w:val="none"/>
              </w:rPr>
            </w:pPr>
            <w:r>
              <w:rPr>
                <w:rFonts w:ascii="宋体" w:hAnsi="宋体" w:cs="Courier New"/>
                <w:color w:val="auto"/>
                <w:szCs w:val="21"/>
                <w:highlight w:val="none"/>
              </w:rPr>
              <w:t>备注：</w:t>
            </w:r>
          </w:p>
          <w:p w14:paraId="528865AB">
            <w:pPr>
              <w:pStyle w:val="15"/>
              <w:spacing w:line="360" w:lineRule="auto"/>
              <w:rPr>
                <w:rFonts w:hint="eastAsia" w:ascii="宋体" w:hAnsi="宋体"/>
                <w:b/>
                <w:color w:val="auto"/>
                <w:szCs w:val="21"/>
                <w:highlight w:val="none"/>
              </w:rPr>
            </w:pPr>
            <w:bookmarkStart w:id="54" w:name="_Hlk54170335"/>
            <w:r>
              <w:rPr>
                <w:rFonts w:hint="eastAsia" w:ascii="宋体" w:hAnsi="宋体"/>
                <w:b/>
                <w:color w:val="auto"/>
                <w:szCs w:val="21"/>
                <w:highlight w:val="none"/>
              </w:rPr>
              <w:t>1.</w:t>
            </w:r>
            <w:bookmarkEnd w:id="54"/>
            <w:r>
              <w:rPr>
                <w:rFonts w:hint="eastAsia" w:ascii="宋体" w:hAnsi="宋体"/>
                <w:b/>
                <w:color w:val="auto"/>
                <w:szCs w:val="21"/>
                <w:highlight w:val="none"/>
                <w:lang w:val="en-US" w:eastAsia="zh-CN"/>
              </w:rPr>
              <w:t>参照</w:t>
            </w:r>
            <w:r>
              <w:rPr>
                <w:rFonts w:hint="eastAsia" w:ascii="宋体" w:hAnsi="宋体"/>
                <w:b/>
                <w:color w:val="auto"/>
                <w:szCs w:val="21"/>
                <w:highlight w:val="none"/>
              </w:rPr>
              <w:t>《广西壮族自治区财政厅关于持续优化政府采购营商环境推动高质量发展的通知》（桂财采（2024）55号）规定，履约保证金数额不得超过</w:t>
            </w:r>
            <w:r>
              <w:rPr>
                <w:rFonts w:hint="eastAsia" w:ascii="宋体" w:hAnsi="宋体"/>
                <w:b/>
                <w:color w:val="auto"/>
                <w:szCs w:val="21"/>
                <w:highlight w:val="none"/>
                <w:lang w:eastAsia="zh-CN"/>
              </w:rPr>
              <w:t>采购合同</w:t>
            </w:r>
            <w:r>
              <w:rPr>
                <w:rFonts w:hint="eastAsia" w:ascii="宋体" w:hAnsi="宋体"/>
                <w:b/>
                <w:color w:val="auto"/>
                <w:szCs w:val="21"/>
                <w:highlight w:val="none"/>
              </w:rPr>
              <w:t>金额的5%，对中小企业收取的履约保证金数额不得超过</w:t>
            </w:r>
            <w:r>
              <w:rPr>
                <w:rFonts w:hint="eastAsia" w:ascii="宋体" w:hAnsi="宋体"/>
                <w:b/>
                <w:color w:val="auto"/>
                <w:szCs w:val="21"/>
                <w:highlight w:val="none"/>
                <w:lang w:eastAsia="zh-CN"/>
              </w:rPr>
              <w:t>采购合同</w:t>
            </w:r>
            <w:r>
              <w:rPr>
                <w:rFonts w:hint="eastAsia" w:ascii="宋体" w:hAnsi="宋体"/>
                <w:b/>
                <w:color w:val="auto"/>
                <w:szCs w:val="21"/>
                <w:highlight w:val="none"/>
              </w:rPr>
              <w:t>金额的2%。预算单位（采购人）可根据供应商的资信等情况减免履约保证金。</w:t>
            </w:r>
          </w:p>
          <w:p w14:paraId="55B12BEF">
            <w:pPr>
              <w:spacing w:line="360" w:lineRule="auto"/>
              <w:jc w:val="left"/>
              <w:rPr>
                <w:rFonts w:hint="eastAsia" w:ascii="宋体" w:hAnsi="宋体"/>
                <w:b/>
                <w:color w:val="auto"/>
                <w:szCs w:val="21"/>
                <w:highlight w:val="none"/>
              </w:rPr>
            </w:pPr>
            <w:r>
              <w:rPr>
                <w:rFonts w:ascii="宋体" w:hAnsi="宋体"/>
                <w:b/>
                <w:color w:val="auto"/>
                <w:szCs w:val="21"/>
                <w:highlight w:val="none"/>
              </w:rPr>
              <w:t>2.</w:t>
            </w:r>
            <w:r>
              <w:rPr>
                <w:rFonts w:hint="eastAsia" w:ascii="宋体" w:hAnsi="宋体"/>
                <w:color w:val="auto"/>
                <w:szCs w:val="21"/>
                <w:highlight w:val="none"/>
              </w:rPr>
              <w:t xml:space="preserve"> </w:t>
            </w:r>
            <w:r>
              <w:rPr>
                <w:rFonts w:hint="eastAsia" w:ascii="宋体" w:hAnsi="宋体"/>
                <w:b/>
                <w:color w:val="auto"/>
                <w:szCs w:val="21"/>
                <w:highlight w:val="none"/>
              </w:rPr>
              <w:t>履约保证金不足额缴纳的（包含保函额度不足的），或者不按规定提交方式提交的，或者保函有效期低于合同履行期限（即合同中规定的当事人履行自己的义务，如交付标的物、价款或者报酬，履行劳务、完成工作的时间界限）的，不予签订合同。</w:t>
            </w:r>
          </w:p>
          <w:p w14:paraId="08EF4F5D">
            <w:pPr>
              <w:spacing w:line="360" w:lineRule="auto"/>
              <w:jc w:val="left"/>
              <w:rPr>
                <w:rFonts w:hint="eastAsia" w:ascii="宋体" w:hAnsi="宋体"/>
                <w:b/>
                <w:color w:val="auto"/>
                <w:szCs w:val="21"/>
                <w:highlight w:val="none"/>
              </w:rPr>
            </w:pPr>
            <w:r>
              <w:rPr>
                <w:rFonts w:ascii="宋体" w:hAnsi="宋体"/>
                <w:b/>
                <w:color w:val="auto"/>
                <w:szCs w:val="21"/>
                <w:highlight w:val="none"/>
              </w:rPr>
              <w:t>3.采用银行、保险机构出具的保函的，必须为无条件保函，否则不予签订合同。</w:t>
            </w:r>
          </w:p>
          <w:p w14:paraId="2FFA6CC6">
            <w:pPr>
              <w:pStyle w:val="44"/>
              <w:rPr>
                <w:rFonts w:hint="eastAsia"/>
                <w:color w:val="auto"/>
                <w:highlight w:val="none"/>
              </w:rPr>
            </w:pPr>
            <w:r>
              <w:rPr>
                <w:rFonts w:hint="default" w:ascii="宋体" w:hAnsi="宋体" w:eastAsia="宋体" w:cs="Times New Roman"/>
                <w:b/>
                <w:color w:val="auto"/>
                <w:sz w:val="21"/>
                <w:szCs w:val="21"/>
                <w:highlight w:val="none"/>
                <w:lang w:val="en-US" w:eastAsia="zh-CN" w:bidi="ar-SA"/>
              </w:rPr>
              <w:t>4.</w:t>
            </w:r>
            <w:r>
              <w:rPr>
                <w:rFonts w:hint="eastAsia" w:ascii="宋体" w:hAnsi="宋体" w:eastAsia="宋体" w:cs="Times New Roman"/>
                <w:b/>
                <w:color w:val="auto"/>
                <w:sz w:val="21"/>
                <w:szCs w:val="21"/>
                <w:highlight w:val="none"/>
                <w:lang w:val="en-US" w:eastAsia="zh-CN" w:bidi="ar-SA"/>
              </w:rPr>
              <w:t>供应商为联合体的，由联合体其中一方按规定提交的履约保证金，视为有效履约保证金。</w:t>
            </w:r>
          </w:p>
        </w:tc>
      </w:tr>
      <w:tr w14:paraId="2BF64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40DC015A">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28.1</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43646ECA">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签订合同携带的证明材料： </w:t>
            </w:r>
          </w:p>
          <w:p w14:paraId="2242A55C">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委托代理人负责签订合同的，须携带授权委托书及委托代理人身份证原件等其他资格证件。</w:t>
            </w:r>
          </w:p>
          <w:p w14:paraId="11646461">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法定代表人负责签订合同的，须携带法定代表人身份证明原件及身份证原件等其他证明材料。</w:t>
            </w:r>
          </w:p>
        </w:tc>
      </w:tr>
      <w:tr w14:paraId="30423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649F5CBD">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29.2</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35E6F667">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接收质疑函方式：以书面形式。</w:t>
            </w:r>
          </w:p>
          <w:p w14:paraId="58183416">
            <w:pPr>
              <w:pStyle w:val="45"/>
              <w:spacing w:line="3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质疑联系部门：</w:t>
            </w:r>
            <w:r>
              <w:rPr>
                <w:rFonts w:hint="eastAsia" w:hAnsi="宋体" w:cs="宋体"/>
                <w:color w:val="auto"/>
                <w:sz w:val="21"/>
                <w:highlight w:val="none"/>
                <w:lang w:eastAsia="zh-CN"/>
              </w:rPr>
              <w:t>云之龙咨询集团有限公司藤县分公司</w:t>
            </w:r>
          </w:p>
          <w:p w14:paraId="268A00E8">
            <w:pPr>
              <w:pStyle w:val="45"/>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联系电话：0774-</w:t>
            </w:r>
            <w:r>
              <w:rPr>
                <w:rFonts w:hint="eastAsia" w:hAnsi="宋体" w:cs="宋体"/>
                <w:color w:val="auto"/>
                <w:sz w:val="21"/>
                <w:highlight w:val="none"/>
                <w:lang w:val="en-US" w:eastAsia="zh-CN"/>
              </w:rPr>
              <w:t>7288399</w:t>
            </w:r>
            <w:r>
              <w:rPr>
                <w:rFonts w:hint="eastAsia" w:ascii="宋体" w:hAnsi="宋体" w:eastAsia="宋体" w:cs="宋体"/>
                <w:color w:val="auto"/>
                <w:sz w:val="21"/>
                <w:highlight w:val="none"/>
              </w:rPr>
              <w:t xml:space="preserve">/3859935            </w:t>
            </w:r>
          </w:p>
          <w:p w14:paraId="5E760231">
            <w:pPr>
              <w:pStyle w:val="45"/>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通讯地址：云之龙咨询集团有限公司（</w:t>
            </w:r>
            <w:r>
              <w:rPr>
                <w:rFonts w:hint="eastAsia" w:hAnsi="宋体" w:cs="宋体"/>
                <w:color w:val="auto"/>
                <w:sz w:val="21"/>
                <w:highlight w:val="none"/>
                <w:lang w:eastAsia="zh-CN"/>
              </w:rPr>
              <w:t>藤县河东安泰五街62号</w:t>
            </w:r>
            <w:r>
              <w:rPr>
                <w:rFonts w:hint="eastAsia" w:ascii="宋体" w:hAnsi="宋体" w:eastAsia="宋体" w:cs="宋体"/>
                <w:color w:val="auto"/>
                <w:sz w:val="21"/>
                <w:highlight w:val="none"/>
              </w:rPr>
              <w:t xml:space="preserve">） </w:t>
            </w:r>
          </w:p>
          <w:p w14:paraId="7B4E3229">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业务时间：工作日每天上午8时00分到12时00分，下午3时00分到6时00分。</w:t>
            </w:r>
          </w:p>
        </w:tc>
      </w:tr>
      <w:tr w14:paraId="5E77C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04B12607">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30.1</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2EBFE949">
            <w:pPr>
              <w:pStyle w:val="45"/>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1.代理服务费支付方式：</w:t>
            </w:r>
          </w:p>
          <w:p w14:paraId="58050973">
            <w:pPr>
              <w:pStyle w:val="45"/>
              <w:spacing w:line="360" w:lineRule="auto"/>
              <w:rPr>
                <w:rFonts w:hint="eastAsia" w:ascii="宋体" w:hAnsi="宋体" w:eastAsia="宋体" w:cs="宋体"/>
                <w:color w:val="auto"/>
                <w:sz w:val="21"/>
                <w:highlight w:val="none"/>
              </w:rPr>
            </w:pPr>
            <w:r>
              <w:rPr>
                <w:rFonts w:ascii="Wingdings 2" w:hAnsi="Wingdings 2" w:eastAsia="Wingdings 2" w:cs="Wingdings 2"/>
                <w:color w:val="auto"/>
                <w:sz w:val="21"/>
                <w:highlight w:val="none"/>
              </w:rPr>
              <w:sym w:font="Wingdings 2" w:char="00A3"/>
            </w:r>
            <w:r>
              <w:rPr>
                <w:rFonts w:hint="eastAsia" w:ascii="宋体" w:hAnsi="宋体" w:eastAsia="宋体" w:cs="宋体"/>
                <w:color w:val="auto"/>
                <w:sz w:val="21"/>
                <w:highlight w:val="none"/>
              </w:rPr>
              <w:t>本项目代理服务费</w:t>
            </w:r>
            <w:r>
              <w:rPr>
                <w:rFonts w:hint="eastAsia" w:ascii="宋体" w:hAnsi="宋体" w:eastAsia="宋体" w:cs="宋体"/>
                <w:color w:val="auto"/>
                <w:sz w:val="21"/>
                <w:highlight w:val="none"/>
                <w:lang w:val="en-US" w:eastAsia="zh-CN"/>
              </w:rPr>
              <w:t>由供应商在发布成交结果公告后7日内</w:t>
            </w:r>
            <w:r>
              <w:rPr>
                <w:rFonts w:hint="eastAsia" w:ascii="宋体" w:hAnsi="宋体" w:eastAsia="宋体" w:cs="宋体"/>
                <w:color w:val="auto"/>
                <w:sz w:val="21"/>
                <w:highlight w:val="none"/>
              </w:rPr>
              <w:t>，一次性向采购代理机构支付。</w:t>
            </w:r>
          </w:p>
          <w:p w14:paraId="64F2265C">
            <w:pPr>
              <w:pStyle w:val="45"/>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□采购人支付。</w:t>
            </w:r>
          </w:p>
          <w:p w14:paraId="3811EF99">
            <w:pPr>
              <w:pStyle w:val="45"/>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2.代理服务费收取标准：</w:t>
            </w:r>
          </w:p>
          <w:p w14:paraId="0627E665">
            <w:pPr>
              <w:pStyle w:val="45"/>
              <w:spacing w:line="360" w:lineRule="auto"/>
              <w:rPr>
                <w:rFonts w:hint="eastAsia" w:ascii="宋体" w:hAnsi="宋体" w:eastAsia="宋体" w:cs="宋体"/>
                <w:color w:val="auto"/>
                <w:sz w:val="21"/>
                <w:highlight w:val="none"/>
              </w:rPr>
            </w:pPr>
            <w:r>
              <w:rPr>
                <w:rFonts w:hint="eastAsia" w:hAnsi="宋体" w:cs="宋体"/>
                <w:color w:val="auto"/>
                <w:sz w:val="21"/>
                <w:highlight w:val="none"/>
                <w:lang w:eastAsia="zh-CN"/>
              </w:rPr>
              <w:t>☑</w:t>
            </w:r>
            <w:r>
              <w:rPr>
                <w:rFonts w:hint="eastAsia" w:ascii="宋体" w:hAnsi="宋体" w:eastAsia="宋体" w:cs="宋体"/>
                <w:color w:val="auto"/>
                <w:sz w:val="21"/>
                <w:highlight w:val="none"/>
              </w:rPr>
              <w:t>以本项目（</w:t>
            </w:r>
            <w:r>
              <w:rPr>
                <w:rFonts w:hint="eastAsia" w:hAnsi="宋体" w:cs="宋体"/>
                <w:color w:val="auto"/>
                <w:sz w:val="21"/>
                <w:highlight w:val="none"/>
                <w:lang w:eastAsia="zh-CN"/>
              </w:rPr>
              <w:t>☑</w:t>
            </w:r>
            <w:r>
              <w:rPr>
                <w:rFonts w:hint="eastAsia" w:ascii="宋体" w:hAnsi="宋体" w:eastAsia="宋体" w:cs="宋体"/>
                <w:color w:val="auto"/>
                <w:sz w:val="21"/>
                <w:highlight w:val="none"/>
              </w:rPr>
              <w:t>成交金额/</w:t>
            </w:r>
            <w:r>
              <w:rPr>
                <w:rFonts w:hint="eastAsia" w:hAnsi="宋体" w:cs="宋体"/>
                <w:color w:val="auto"/>
                <w:sz w:val="21"/>
                <w:highlight w:val="none"/>
                <w:lang w:eastAsia="zh-CN"/>
              </w:rPr>
              <w:t>□</w:t>
            </w:r>
            <w:r>
              <w:rPr>
                <w:rFonts w:hint="eastAsia" w:ascii="宋体" w:hAnsi="宋体" w:eastAsia="宋体" w:cs="宋体"/>
                <w:color w:val="auto"/>
                <w:sz w:val="21"/>
                <w:highlight w:val="none"/>
              </w:rPr>
              <w:t>采购预算/□暂定预算金额/□其他）为计费额，按本须知正文第30.2条规定的收费计算标准（服务招标）采用差额定率累进法计算。</w:t>
            </w:r>
          </w:p>
          <w:p w14:paraId="3082D4DB">
            <w:pPr>
              <w:pStyle w:val="45"/>
              <w:spacing w:line="360" w:lineRule="auto"/>
              <w:rPr>
                <w:rFonts w:hint="eastAsia" w:ascii="宋体" w:hAnsi="宋体" w:eastAsia="宋体" w:cs="宋体"/>
                <w:color w:val="auto"/>
                <w:sz w:val="21"/>
                <w:highlight w:val="none"/>
              </w:rPr>
            </w:pPr>
            <w:r>
              <w:rPr>
                <w:rFonts w:hint="eastAsia" w:hAnsi="宋体" w:cs="宋体"/>
                <w:color w:val="auto"/>
                <w:sz w:val="21"/>
                <w:highlight w:val="none"/>
                <w:lang w:eastAsia="zh-CN"/>
              </w:rPr>
              <w:t>□</w:t>
            </w:r>
            <w:r>
              <w:rPr>
                <w:rFonts w:hint="eastAsia" w:ascii="宋体" w:hAnsi="宋体" w:eastAsia="宋体" w:cs="宋体"/>
                <w:color w:val="auto"/>
                <w:sz w:val="21"/>
                <w:highlight w:val="none"/>
              </w:rPr>
              <w:t>固定代理服务费</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u w:val="single"/>
                <w:lang w:val="en-US" w:eastAsia="zh-CN"/>
              </w:rPr>
              <w:t xml:space="preserve">                </w:t>
            </w:r>
            <w:r>
              <w:rPr>
                <w:rFonts w:hint="eastAsia" w:ascii="宋体" w:hAnsi="宋体" w:eastAsia="宋体" w:cs="宋体"/>
                <w:color w:val="auto"/>
                <w:sz w:val="21"/>
                <w:highlight w:val="none"/>
              </w:rPr>
              <w:t>。</w:t>
            </w:r>
          </w:p>
          <w:p w14:paraId="46330D15">
            <w:pPr>
              <w:pStyle w:val="45"/>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3.账户名称：</w:t>
            </w:r>
            <w:r>
              <w:rPr>
                <w:rFonts w:hint="eastAsia" w:hAnsi="宋体" w:cs="宋体"/>
                <w:color w:val="auto"/>
                <w:sz w:val="21"/>
                <w:highlight w:val="none"/>
                <w:lang w:eastAsia="zh-CN"/>
              </w:rPr>
              <w:t>云之龙咨询集团有限公司藤县分公司</w:t>
            </w:r>
            <w:r>
              <w:rPr>
                <w:rFonts w:hint="eastAsia" w:ascii="宋体" w:hAnsi="宋体" w:eastAsia="宋体" w:cs="宋体"/>
                <w:color w:val="auto"/>
                <w:sz w:val="21"/>
                <w:highlight w:val="none"/>
              </w:rPr>
              <w:t xml:space="preserve"> </w:t>
            </w:r>
          </w:p>
          <w:p w14:paraId="1F9EE1CA">
            <w:pPr>
              <w:pStyle w:val="45"/>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开户银行：</w:t>
            </w:r>
            <w:r>
              <w:rPr>
                <w:rFonts w:hint="eastAsia" w:ascii="宋体" w:hAnsi="宋体" w:eastAsia="宋体" w:cs="宋体"/>
                <w:color w:val="auto"/>
                <w:sz w:val="21"/>
                <w:highlight w:val="none"/>
                <w:lang w:eastAsia="zh-CN"/>
              </w:rPr>
              <w:t>中信银行股份有限公司南宁园湖支行</w:t>
            </w:r>
          </w:p>
          <w:p w14:paraId="57AFEBA8">
            <w:pPr>
              <w:pStyle w:val="45"/>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银行账号：</w:t>
            </w:r>
            <w:r>
              <w:rPr>
                <w:rFonts w:hint="eastAsia" w:hAnsi="宋体" w:cs="宋体"/>
                <w:color w:val="auto"/>
                <w:sz w:val="21"/>
                <w:highlight w:val="none"/>
              </w:rPr>
              <w:t>8113001013200159944</w:t>
            </w:r>
            <w:r>
              <w:rPr>
                <w:rFonts w:hint="eastAsia" w:ascii="宋体" w:hAnsi="宋体" w:eastAsia="宋体" w:cs="宋体"/>
                <w:color w:val="auto"/>
                <w:sz w:val="21"/>
                <w:highlight w:val="none"/>
              </w:rPr>
              <w:t xml:space="preserve"> </w:t>
            </w:r>
          </w:p>
        </w:tc>
      </w:tr>
      <w:tr w14:paraId="5065C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04129C7A">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31.1</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38DA7BB8">
            <w:pPr>
              <w:pStyle w:val="45"/>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解释：构成本磋商文件的各个组成文件应互为解释，互为说明；除磋商文件中有特别规定外，仅适用于竞标阶段的规定，按更正公告（澄清公告）、竞争性磋商公告、供应商须知、采购需求、评审程序、评审方法和评审标准、响应文件格式、合同文本的先后顺序解释；同一组成文件中就同一事项的规定或者约定不一致的，以编排顺序在后者为准；同一组成文件不同版本之间有不一致的，以形成时间在后者为准；更正公告（澄清公告）与同步更新的磋商文件不一致时以更正公告（澄清公告）为准。按本款前述规定仍不能形成结论的，由采购人或者采购代理机构负责解释。</w:t>
            </w:r>
          </w:p>
        </w:tc>
      </w:tr>
      <w:tr w14:paraId="754B5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55CB4EE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31.2</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4F287930">
            <w:pPr>
              <w:pStyle w:val="45"/>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1.本磋商文件中描述供应商的“公章”是指根据我国对公章的管理规定，用供应商法定主体行为名称制作的印章，除本磋商文件有特殊规定外，供应商的财务章、部门章、分公司章、工会章、合同章、竞标/投标专用章、业务专用章及银行的转账章、现金收讫章、现金付讫章等其他形式印章均不能代替公章。</w:t>
            </w:r>
          </w:p>
          <w:p w14:paraId="5E6BC278">
            <w:pPr>
              <w:pStyle w:val="45"/>
              <w:spacing w:line="360" w:lineRule="auto"/>
              <w:rPr>
                <w:rFonts w:hint="eastAsia" w:ascii="宋体" w:hAnsi="宋体" w:eastAsia="宋体" w:cs="宋体"/>
                <w:bCs/>
                <w:color w:val="auto"/>
                <w:sz w:val="21"/>
                <w:highlight w:val="none"/>
              </w:rPr>
            </w:pPr>
            <w:r>
              <w:rPr>
                <w:rFonts w:hint="eastAsia" w:ascii="宋体" w:hAnsi="宋体" w:eastAsia="宋体" w:cs="宋体"/>
                <w:color w:val="auto"/>
                <w:sz w:val="21"/>
                <w:highlight w:val="none"/>
              </w:rPr>
              <w:t>2.供应商为其他组织或者自然人时，本磋商文件规定的法定代表人指负责人或者自然人。本磋商文件所称负责人是指参加竞标的其他组织</w:t>
            </w:r>
            <w:r>
              <w:rPr>
                <w:rFonts w:hint="eastAsia" w:ascii="宋体" w:hAnsi="宋体" w:eastAsia="宋体" w:cs="宋体"/>
                <w:bCs/>
                <w:color w:val="auto"/>
                <w:sz w:val="21"/>
                <w:highlight w:val="none"/>
              </w:rPr>
              <w:t>营业执照或者执业许可证等证照上的</w:t>
            </w:r>
            <w:r>
              <w:rPr>
                <w:rFonts w:hint="eastAsia" w:ascii="宋体" w:hAnsi="宋体" w:eastAsia="宋体" w:cs="宋体"/>
                <w:color w:val="auto"/>
                <w:sz w:val="21"/>
                <w:highlight w:val="none"/>
              </w:rPr>
              <w:t>负责人，本磋商文件所称自然人指参与竞标的自然人本人，</w:t>
            </w:r>
            <w:r>
              <w:rPr>
                <w:rFonts w:hint="eastAsia" w:ascii="宋体" w:hAnsi="宋体" w:eastAsia="宋体" w:cs="宋体"/>
                <w:bCs/>
                <w:color w:val="auto"/>
                <w:sz w:val="21"/>
                <w:highlight w:val="none"/>
              </w:rPr>
              <w:t>且应具备独立承担民事责任能力，自然人应当为年满18岁以上成年人（十六周岁以上的未成年人，以自己的劳动收入为主要生活来源的，视为完全民事行为能力人）。</w:t>
            </w:r>
          </w:p>
          <w:p w14:paraId="7C974D35">
            <w:pPr>
              <w:pStyle w:val="45"/>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3.本磋商文件中描述供应商的“签字”是指供应商的法定代表人或者委托代理人亲自在文件规定签署处亲笔写上个人的名字的行为，私章、签字章、印鉴、影印等其他形式均不能代替亲笔签字。</w:t>
            </w:r>
          </w:p>
          <w:p w14:paraId="18DCF2EB">
            <w:pPr>
              <w:pStyle w:val="45"/>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4.本磋商文件所称的“以上”“以下”“以内”“届满”，包括本数；所称的“不满”“超过”“以外”，不包括本数。</w:t>
            </w:r>
          </w:p>
        </w:tc>
      </w:tr>
    </w:tbl>
    <w:p w14:paraId="34BC875A">
      <w:pPr>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供应商须知正文</w:t>
      </w:r>
    </w:p>
    <w:p w14:paraId="23BACED2">
      <w:pPr>
        <w:spacing w:line="360" w:lineRule="auto"/>
        <w:jc w:val="center"/>
        <w:rPr>
          <w:rFonts w:hint="eastAsia" w:ascii="宋体" w:hAnsi="宋体" w:eastAsia="宋体" w:cs="宋体"/>
          <w:b/>
          <w:color w:val="auto"/>
          <w:sz w:val="32"/>
          <w:szCs w:val="32"/>
          <w:highlight w:val="none"/>
        </w:rPr>
      </w:pPr>
    </w:p>
    <w:p w14:paraId="69C1DF31">
      <w:pPr>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一、总则</w:t>
      </w:r>
    </w:p>
    <w:p w14:paraId="18A3B1C3">
      <w:pPr>
        <w:spacing w:line="360" w:lineRule="auto"/>
        <w:rPr>
          <w:rFonts w:hint="eastAsia" w:ascii="宋体" w:hAnsi="宋体" w:eastAsia="宋体" w:cs="宋体"/>
          <w:color w:val="auto"/>
          <w:szCs w:val="21"/>
          <w:highlight w:val="none"/>
        </w:rPr>
      </w:pPr>
    </w:p>
    <w:p w14:paraId="44F681C5">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1.适用范围</w:t>
      </w:r>
    </w:p>
    <w:p w14:paraId="0692BCA0">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1.1本项目</w:t>
      </w:r>
      <w:r>
        <w:rPr>
          <w:rFonts w:hint="eastAsia" w:ascii="宋体" w:hAnsi="宋体" w:eastAsia="宋体" w:cs="宋体"/>
          <w:color w:val="auto"/>
          <w:highlight w:val="none"/>
        </w:rPr>
        <w:t>参照</w:t>
      </w:r>
      <w:r>
        <w:rPr>
          <w:rFonts w:hint="eastAsia" w:ascii="宋体" w:hAnsi="宋体" w:eastAsia="宋体" w:cs="宋体"/>
          <w:color w:val="auto"/>
          <w:szCs w:val="21"/>
          <w:highlight w:val="none"/>
        </w:rPr>
        <w:t>《中华人民共和国政府采购法》《中华人民共和国政府采购法实施条例》《政府采购竞争性磋商采购方式管理暂行办法》执行，采购人、采购代理机构、供应商、磋商小组的相关行为均受《中华人民共和国政府采购法》《中华人民共和国政府采购法实施条例》《政府采购竞争性磋商采购方式管理暂行办法》《财政部关于政府采购竞争性磋商采购方式管理暂行办法有关问题的补充通知》的约束和保护。</w:t>
      </w:r>
    </w:p>
    <w:p w14:paraId="797D8BA2">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r>
        <w:rPr>
          <w:rFonts w:hint="eastAsia" w:ascii="宋体" w:hAnsi="宋体" w:eastAsia="宋体" w:cs="宋体"/>
          <w:color w:val="auto"/>
          <w:spacing w:val="-6"/>
          <w:szCs w:val="21"/>
          <w:highlight w:val="none"/>
        </w:rPr>
        <w:t>本竞争性磋商文件（以下简称磋商文件）适用于本项目的所有采购程序和环节（法律、法规另有规定的，从其规定）。</w:t>
      </w:r>
    </w:p>
    <w:p w14:paraId="0D5581C3">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2.定义</w:t>
      </w:r>
    </w:p>
    <w:p w14:paraId="3C86E201">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2.1“采购人”是指</w:t>
      </w:r>
      <w:r>
        <w:rPr>
          <w:rFonts w:hint="eastAsia" w:ascii="宋体" w:hAnsi="宋体" w:cs="宋体"/>
          <w:color w:val="auto"/>
          <w:szCs w:val="21"/>
          <w:highlight w:val="none"/>
          <w:lang w:eastAsia="zh-CN"/>
        </w:rPr>
        <w:t>藤县龙之盾保安服务有限公司</w:t>
      </w:r>
      <w:r>
        <w:rPr>
          <w:rFonts w:hint="eastAsia" w:ascii="宋体" w:hAnsi="宋体" w:eastAsia="宋体" w:cs="宋体"/>
          <w:color w:val="auto"/>
          <w:szCs w:val="21"/>
          <w:highlight w:val="none"/>
        </w:rPr>
        <w:t>。</w:t>
      </w:r>
    </w:p>
    <w:p w14:paraId="037EC168">
      <w:pPr>
        <w:spacing w:line="360" w:lineRule="auto"/>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2.2“采购代理机构”是指云之龙咨询集团有限公司。</w:t>
      </w:r>
    </w:p>
    <w:p w14:paraId="44D8247F">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2.3“供应商”是指向采购人提供货物、工程或者服务的法人、其他组织或者自然人。</w:t>
      </w:r>
    </w:p>
    <w:p w14:paraId="254306DD">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2.4“服务”是指除货物和工程以外的其他采购对象。</w:t>
      </w:r>
    </w:p>
    <w:p w14:paraId="02EB4C41">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2.5“竞标”是指供应商按照本项目竞争性磋商公告或者邀请函规定的方式获取磋商文件、提交响应文件并希望获得标的的行为。</w:t>
      </w:r>
    </w:p>
    <w:p w14:paraId="766396F7">
      <w:pPr>
        <w:spacing w:line="360" w:lineRule="auto"/>
        <w:ind w:firstLine="420"/>
        <w:contextualSpacing/>
        <w:rPr>
          <w:rFonts w:hint="eastAsia" w:ascii="宋体" w:hAnsi="宋体" w:eastAsia="宋体" w:cs="宋体"/>
          <w:color w:val="auto"/>
          <w:szCs w:val="21"/>
          <w:highlight w:val="none"/>
        </w:rPr>
      </w:pPr>
      <w:r>
        <w:rPr>
          <w:rFonts w:hint="eastAsia" w:ascii="宋体" w:hAnsi="宋体" w:eastAsia="宋体" w:cs="宋体"/>
          <w:color w:val="auto"/>
          <w:szCs w:val="21"/>
          <w:highlight w:val="none"/>
        </w:rPr>
        <w:t>2.6“书面形式”是指合同书、信件和数据电文（包括电报、电传、传真、电子数据交换和电子邮件）等可以有形地表现所载内容的形式。</w:t>
      </w:r>
    </w:p>
    <w:p w14:paraId="1A98D18C">
      <w:pPr>
        <w:spacing w:line="360" w:lineRule="auto"/>
        <w:ind w:firstLine="420"/>
        <w:contextualSpacing/>
        <w:rPr>
          <w:rFonts w:hint="eastAsia" w:ascii="宋体" w:hAnsi="宋体" w:eastAsia="宋体" w:cs="宋体"/>
          <w:color w:val="auto"/>
          <w:szCs w:val="21"/>
          <w:highlight w:val="none"/>
        </w:rPr>
      </w:pPr>
      <w:r>
        <w:rPr>
          <w:rFonts w:hint="eastAsia" w:ascii="宋体" w:hAnsi="宋体" w:eastAsia="宋体" w:cs="宋体"/>
          <w:color w:val="auto"/>
          <w:szCs w:val="21"/>
          <w:highlight w:val="none"/>
        </w:rPr>
        <w:t>2.7“响应文件”</w:t>
      </w:r>
      <w:r>
        <w:rPr>
          <w:rFonts w:hint="eastAsia" w:ascii="宋体" w:hAnsi="宋体" w:eastAsia="宋体" w:cs="宋体"/>
          <w:color w:val="auto"/>
          <w:spacing w:val="-6"/>
          <w:szCs w:val="21"/>
          <w:highlight w:val="none"/>
        </w:rPr>
        <w:t>是指：供应商根据本磋商文件要求，编制包含资格证明、报价、商务技术等所有内容的文件。</w:t>
      </w:r>
    </w:p>
    <w:p w14:paraId="564465CC">
      <w:pPr>
        <w:spacing w:line="360" w:lineRule="auto"/>
        <w:ind w:firstLine="420"/>
        <w:contextualSpacing/>
        <w:rPr>
          <w:rFonts w:hint="eastAsia" w:ascii="宋体" w:hAnsi="宋体" w:eastAsia="宋体" w:cs="宋体"/>
          <w:color w:val="auto"/>
          <w:szCs w:val="21"/>
          <w:highlight w:val="none"/>
        </w:rPr>
      </w:pPr>
      <w:r>
        <w:rPr>
          <w:rFonts w:hint="eastAsia" w:ascii="宋体" w:hAnsi="宋体" w:eastAsia="宋体" w:cs="宋体"/>
          <w:color w:val="auto"/>
          <w:szCs w:val="21"/>
          <w:highlight w:val="none"/>
        </w:rPr>
        <w:t>2.8“实质性要求”是指磋商文件中已经指明不满足则响应文件按无效响应处理的条款，或者不能负偏离的条款，或者采购需求中带“▲”的条款。</w:t>
      </w:r>
    </w:p>
    <w:p w14:paraId="36D5790E">
      <w:pPr>
        <w:spacing w:line="360" w:lineRule="auto"/>
        <w:ind w:firstLine="420"/>
        <w:contextualSpacing/>
        <w:rPr>
          <w:rFonts w:hint="eastAsia" w:ascii="宋体" w:hAnsi="宋体" w:eastAsia="宋体" w:cs="宋体"/>
          <w:color w:val="auto"/>
          <w:szCs w:val="21"/>
          <w:highlight w:val="none"/>
        </w:rPr>
      </w:pPr>
      <w:r>
        <w:rPr>
          <w:rFonts w:hint="eastAsia" w:ascii="宋体" w:hAnsi="宋体" w:eastAsia="宋体" w:cs="宋体"/>
          <w:color w:val="auto"/>
          <w:szCs w:val="21"/>
          <w:highlight w:val="none"/>
        </w:rPr>
        <w:t>2.9“正偏离”，是指响应文件对磋商文件“采购需求”中有关条款作出的响应优于条款要求并有利于采购人的情形。</w:t>
      </w:r>
    </w:p>
    <w:p w14:paraId="5BB0FC51">
      <w:pPr>
        <w:spacing w:line="360" w:lineRule="auto"/>
        <w:ind w:firstLine="420"/>
        <w:contextualSpacing/>
        <w:rPr>
          <w:rFonts w:hint="eastAsia" w:ascii="宋体" w:hAnsi="宋体" w:eastAsia="宋体" w:cs="宋体"/>
          <w:color w:val="auto"/>
          <w:szCs w:val="21"/>
          <w:highlight w:val="none"/>
        </w:rPr>
      </w:pPr>
      <w:r>
        <w:rPr>
          <w:rFonts w:hint="eastAsia" w:ascii="宋体" w:hAnsi="宋体" w:eastAsia="宋体" w:cs="宋体"/>
          <w:color w:val="auto"/>
          <w:szCs w:val="21"/>
          <w:highlight w:val="none"/>
        </w:rPr>
        <w:t>2.10“负偏离”，是指响应文件对磋商文件“采购需求”中有关条款作出的响应不满足条款要求，导致采购人要求不能得到满足的情形。</w:t>
      </w:r>
    </w:p>
    <w:p w14:paraId="2B4D0B72">
      <w:pPr>
        <w:spacing w:line="360" w:lineRule="auto"/>
        <w:ind w:firstLine="420"/>
        <w:contextualSpacing/>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2.11“允许负偏离的条款”是指采购需求中的不属于“实质性要求”的条款。</w:t>
      </w:r>
    </w:p>
    <w:p w14:paraId="7C4DBFF5">
      <w:pPr>
        <w:spacing w:line="360" w:lineRule="auto"/>
        <w:ind w:firstLine="420"/>
        <w:contextualSpacing/>
        <w:rPr>
          <w:rFonts w:hint="eastAsia" w:ascii="宋体" w:hAnsi="宋体" w:eastAsia="宋体" w:cs="宋体"/>
          <w:color w:val="auto"/>
          <w:szCs w:val="21"/>
          <w:highlight w:val="none"/>
        </w:rPr>
      </w:pPr>
      <w:r>
        <w:rPr>
          <w:rFonts w:hint="eastAsia" w:ascii="宋体" w:hAnsi="宋体" w:eastAsia="宋体" w:cs="宋体"/>
          <w:color w:val="auto"/>
          <w:szCs w:val="21"/>
          <w:highlight w:val="none"/>
        </w:rPr>
        <w:t>2.12“首次报价”是指供应商提交的首次响应文件中的报价。</w:t>
      </w:r>
    </w:p>
    <w:p w14:paraId="02A2C6C9">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3.供应商的资格条件</w:t>
      </w:r>
    </w:p>
    <w:p w14:paraId="174409A4">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供应商的资格条件详见“供应商须知前附表”。</w:t>
      </w:r>
    </w:p>
    <w:p w14:paraId="4A77C214">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4.竞标费用</w:t>
      </w:r>
    </w:p>
    <w:p w14:paraId="7A7136FD">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供应商应承担参与本次采购活动有关的所有费用，包括但不限于获取磋商文件、</w:t>
      </w:r>
      <w:r>
        <w:rPr>
          <w:color w:val="auto"/>
          <w:highlight w:val="none"/>
        </w:rPr>
        <w:t>勘察现场</w:t>
      </w:r>
      <w:r>
        <w:rPr>
          <w:rFonts w:hint="eastAsia" w:ascii="宋体" w:hAnsi="宋体" w:eastAsia="宋体" w:cs="宋体"/>
          <w:color w:val="auto"/>
          <w:szCs w:val="21"/>
          <w:highlight w:val="none"/>
        </w:rPr>
        <w:t>、编制和提交响应文件、参加磋商与应答、签订合同等，不论竞标结果如何，均应自行承担。</w:t>
      </w:r>
    </w:p>
    <w:p w14:paraId="5C3627B3">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5.联合体竞标</w:t>
      </w:r>
    </w:p>
    <w:p w14:paraId="792D286F">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5.1本项目是否接受联合体竞标，详见“供应商须知前附表”。</w:t>
      </w:r>
    </w:p>
    <w:p w14:paraId="30EC3369">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w:t>
      </w:r>
      <w:r>
        <w:rPr>
          <w:rFonts w:hint="eastAsia" w:ascii="宋体" w:hAnsi="宋体" w:eastAsia="宋体" w:cs="宋体"/>
          <w:color w:val="auto"/>
          <w:highlight w:val="none"/>
        </w:rPr>
        <w:t>如接受联合体竞标，</w:t>
      </w:r>
      <w:r>
        <w:rPr>
          <w:rFonts w:hint="eastAsia" w:ascii="宋体" w:hAnsi="宋体" w:eastAsia="宋体" w:cs="宋体"/>
          <w:color w:val="auto"/>
          <w:szCs w:val="21"/>
          <w:highlight w:val="none"/>
        </w:rPr>
        <w:t>联合体竞标要求详见“供应商须知前附表”。</w:t>
      </w:r>
    </w:p>
    <w:p w14:paraId="3AB01BD3">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6.转包与分包             </w:t>
      </w:r>
    </w:p>
    <w:p w14:paraId="6FA01201">
      <w:pPr>
        <w:pStyle w:val="202"/>
        <w:keepNext w:val="0"/>
        <w:keepLines w:val="0"/>
        <w:spacing w:before="0" w:after="0" w:line="360" w:lineRule="auto"/>
        <w:ind w:left="420"/>
        <w:rPr>
          <w:rFonts w:hint="eastAsia" w:ascii="宋体" w:hAnsi="宋体" w:eastAsia="宋体" w:cs="宋体"/>
          <w:b w:val="0"/>
          <w:color w:val="auto"/>
          <w:sz w:val="21"/>
          <w:szCs w:val="21"/>
          <w:highlight w:val="none"/>
        </w:rPr>
      </w:pPr>
      <w:bookmarkStart w:id="55" w:name="_Toc254970532"/>
      <w:bookmarkStart w:id="56" w:name="_Toc254970673"/>
      <w:r>
        <w:rPr>
          <w:rFonts w:hint="eastAsia" w:ascii="宋体" w:hAnsi="宋体" w:eastAsia="宋体" w:cs="宋体"/>
          <w:b w:val="0"/>
          <w:color w:val="auto"/>
          <w:sz w:val="21"/>
          <w:szCs w:val="21"/>
          <w:highlight w:val="none"/>
        </w:rPr>
        <w:t>6.1本项目不允许转包。</w:t>
      </w:r>
    </w:p>
    <w:p w14:paraId="3169FD99">
      <w:pPr>
        <w:pStyle w:val="202"/>
        <w:keepNext w:val="0"/>
        <w:keepLines w:val="0"/>
        <w:spacing w:before="0" w:after="0" w:line="360" w:lineRule="auto"/>
        <w:ind w:firstLine="315"/>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6.2本项目是否允许分包详见“供应商须知前附表”，本项目不允许违法分包。允许分包的非主体、非关键性工作，根据法律法规规定承担该工作需要行政许可的，如该工作由供应商自行承担，供应商应具备相应的行政许可，如供应商不具备相应的行政许可必须采用分包的方式，但分包供应商应具备相应</w:t>
      </w:r>
      <w:r>
        <w:rPr>
          <w:rFonts w:hint="eastAsia" w:ascii="宋体" w:hAnsi="宋体" w:eastAsia="宋体" w:cs="宋体"/>
          <w:b w:val="0"/>
          <w:color w:val="auto"/>
          <w:sz w:val="21"/>
          <w:szCs w:val="21"/>
          <w:highlight w:val="none"/>
          <w:lang w:val="en-US" w:eastAsia="zh-CN"/>
        </w:rPr>
        <w:t>的</w:t>
      </w:r>
      <w:r>
        <w:rPr>
          <w:rFonts w:hint="eastAsia" w:ascii="宋体" w:hAnsi="宋体" w:eastAsia="宋体" w:cs="宋体"/>
          <w:b w:val="0"/>
          <w:color w:val="auto"/>
          <w:sz w:val="21"/>
          <w:szCs w:val="21"/>
          <w:highlight w:val="none"/>
        </w:rPr>
        <w:t>行政许可。</w:t>
      </w:r>
    </w:p>
    <w:p w14:paraId="7F259674">
      <w:pPr>
        <w:pStyle w:val="202"/>
        <w:keepNext w:val="0"/>
        <w:keepLines w:val="0"/>
        <w:spacing w:before="0" w:after="0" w:line="360" w:lineRule="auto"/>
        <w:ind w:firstLine="315"/>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6.3供应商根据磋商文件的规定和采购项目的实际情况，拟在成交后将成交项目的非主体、非关键性工作分包的，应当在响应文件中载明分包承担主体，分包承担主体应当具备相应资质条件且不得再次分包。</w:t>
      </w:r>
    </w:p>
    <w:p w14:paraId="3DCCC2B9">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7.特别说明</w:t>
      </w:r>
      <w:bookmarkEnd w:id="55"/>
      <w:bookmarkEnd w:id="56"/>
    </w:p>
    <w:p w14:paraId="1FAA2077">
      <w:pPr>
        <w:spacing w:line="360" w:lineRule="auto"/>
        <w:ind w:firstLine="420"/>
        <w:rPr>
          <w:rFonts w:hint="eastAsia" w:ascii="宋体" w:hAnsi="宋体" w:eastAsia="宋体" w:cs="宋体"/>
          <w:color w:val="auto"/>
          <w:szCs w:val="21"/>
          <w:highlight w:val="none"/>
        </w:rPr>
      </w:pPr>
      <w:bookmarkStart w:id="57" w:name="_8.1提供相同品牌产品且通过资格审查、符合性审查的不同投标人参加同一合"/>
      <w:bookmarkEnd w:id="57"/>
      <w:r>
        <w:rPr>
          <w:rFonts w:hint="eastAsia" w:ascii="宋体" w:hAnsi="宋体" w:eastAsia="宋体" w:cs="宋体"/>
          <w:color w:val="auto"/>
          <w:szCs w:val="21"/>
          <w:highlight w:val="none"/>
        </w:rPr>
        <w:t>7.1</w:t>
      </w:r>
      <w:bookmarkStart w:id="58" w:name="_Hlk65832145"/>
      <w:r>
        <w:rPr>
          <w:rFonts w:hint="eastAsia" w:ascii="宋体" w:hAnsi="宋体" w:eastAsia="宋体" w:cs="宋体"/>
          <w:color w:val="auto"/>
          <w:szCs w:val="21"/>
          <w:highlight w:val="none"/>
        </w:rPr>
        <w:t>如果本磋商文件要求提供供应商或制造商的资格、信誉、荣誉、业绩与企业认证等材料的，资格、信誉、荣誉、业绩与企业认证等必须为供应商或者制造商所拥有或自身获得 。</w:t>
      </w:r>
      <w:bookmarkEnd w:id="58"/>
    </w:p>
    <w:p w14:paraId="547F313F">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7.2供应商应仔细阅读磋商文件的所有内容，按照磋商文件的要求提交响应文件，并对所提供的全部资料的真实性承担法律责任。</w:t>
      </w:r>
    </w:p>
    <w:p w14:paraId="713FCDFC">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7.3供应商在竞标活动中提供任何疑似虚假材料，将报监管部门查处；签订合同后发现的，成交供应商须依照《中华人民共和国消费者权益保护法》规定赔偿采购人，且民事赔偿并不免除违法供应商的行政与刑事责任。</w:t>
      </w:r>
    </w:p>
    <w:p w14:paraId="4CA3415A">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7.4在采购活动中，采购人员及相关人员与供应商有下列利害关系之一的，应当回避：</w:t>
      </w:r>
    </w:p>
    <w:p w14:paraId="390C0865">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（1）参加采购活动前3年内与供应商存在劳动关系；</w:t>
      </w:r>
    </w:p>
    <w:p w14:paraId="5D86C5FF">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（2）参加采购活动前3年内担任供应商的董事、监事；</w:t>
      </w:r>
    </w:p>
    <w:p w14:paraId="0CCA8197">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（3）参加采购活动前3年内是供应商的控股股东或者实际控制人；</w:t>
      </w:r>
    </w:p>
    <w:p w14:paraId="1CF29FC4">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（4）与供应商的法定代表人或者负责人有夫妻、直系血亲、三代以内旁系血亲或者近姻亲关系；</w:t>
      </w:r>
    </w:p>
    <w:p w14:paraId="0AFE8584">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（5）与供应商有其他可能影响采购活动公平、公正进行的关系。</w:t>
      </w:r>
    </w:p>
    <w:p w14:paraId="34DEE6B7">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7B52B0A6">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7.5有下列情形之一的视为供应商相互串通竞标，响应文件将被视为无效：</w:t>
      </w:r>
    </w:p>
    <w:p w14:paraId="72183663">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（1）不同供应商的响应文件由同一单位或者个人编制； </w:t>
      </w:r>
    </w:p>
    <w:p w14:paraId="228C91CF">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（2）不同供应商委托同一单位或者个人办理竞标事宜；</w:t>
      </w:r>
    </w:p>
    <w:p w14:paraId="3C4BF9B9">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（3）不同的供应商的响应文件载明的项目管理员为同一个人；</w:t>
      </w:r>
    </w:p>
    <w:p w14:paraId="7D0BD911">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（4）不同供应商的响应文件异常一致或者报价呈规律性差异；</w:t>
      </w:r>
    </w:p>
    <w:p w14:paraId="17EB6AA3">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（5）不同供应商的响应文件相互混装；</w:t>
      </w:r>
    </w:p>
    <w:p w14:paraId="6A6459A6">
      <w:pPr>
        <w:tabs>
          <w:tab w:val="left" w:pos="6931"/>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（6）不同供应商的磋商保证金从同一单位或者个人账户转出。</w:t>
      </w:r>
      <w:r>
        <w:rPr>
          <w:rFonts w:hint="eastAsia" w:ascii="宋体" w:hAnsi="宋体" w:eastAsia="宋体" w:cs="宋体"/>
          <w:color w:val="auto"/>
          <w:szCs w:val="21"/>
          <w:highlight w:val="none"/>
        </w:rPr>
        <w:tab/>
      </w:r>
    </w:p>
    <w:p w14:paraId="7E88F1E4">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7.6供应商有下列情形之一的，属于恶意串通行为，将报同级监督管理部门：</w:t>
      </w:r>
    </w:p>
    <w:p w14:paraId="34E6F0B6">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（1）供应商直接或者间接从采购人或者采购代理机构处获得其他供应商的相关信息并修改其响应文件；</w:t>
      </w:r>
    </w:p>
    <w:p w14:paraId="1DA5F4B2">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（2）供应商按照采购人或者采购代理机构的授意撤换、修改响应文件；</w:t>
      </w:r>
    </w:p>
    <w:p w14:paraId="7E286301">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（3）供应商之间协商报价、技术方案等响应文件或者响应文件的实质性内容；</w:t>
      </w:r>
    </w:p>
    <w:p w14:paraId="0B3AB4E4">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（4）属于同一集团、协会、商会等组织成员的供应商按照该组织要求协同参加采购活动；</w:t>
      </w:r>
    </w:p>
    <w:p w14:paraId="2EF5F139">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（5）供应商之间事先约定一致抬高或者压低报价，或者在采购活动中事先约定轮流以高价位或者低价位成交，或者事先约定由某一特定供应商成交，然后再参加竞标；</w:t>
      </w:r>
    </w:p>
    <w:p w14:paraId="7100224A">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（6）供应商之间商定部分供应商放弃参加采购活动或者放弃成交；</w:t>
      </w:r>
    </w:p>
    <w:p w14:paraId="12E9D015">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（7）供应商与采购人或者采购代理机构之间、供应商相互之间，为谋求特定供应商成交或者排斥其他供应商的其他串通行为。</w:t>
      </w:r>
    </w:p>
    <w:p w14:paraId="6D2EC8F6">
      <w:pPr>
        <w:spacing w:line="360" w:lineRule="auto"/>
        <w:ind w:firstLine="420"/>
        <w:rPr>
          <w:rFonts w:hint="eastAsia" w:ascii="宋体" w:hAnsi="宋体" w:eastAsia="宋体" w:cs="宋体"/>
          <w:color w:val="auto"/>
          <w:szCs w:val="21"/>
          <w:highlight w:val="none"/>
        </w:rPr>
      </w:pPr>
    </w:p>
    <w:p w14:paraId="07F0EF30">
      <w:pPr>
        <w:spacing w:line="360" w:lineRule="auto"/>
        <w:ind w:left="1" w:firstLine="417"/>
        <w:jc w:val="center"/>
        <w:rPr>
          <w:rFonts w:hint="eastAsia" w:ascii="宋体" w:hAnsi="宋体" w:eastAsia="宋体" w:cs="宋体"/>
          <w:color w:val="auto"/>
          <w:highlight w:val="none"/>
        </w:rPr>
      </w:pPr>
      <w:bookmarkStart w:id="59" w:name="_Toc254970675"/>
      <w:bookmarkStart w:id="60" w:name="_Toc254970534"/>
    </w:p>
    <w:p w14:paraId="634F0BDE">
      <w:pPr>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二、磋商文件</w:t>
      </w:r>
      <w:bookmarkEnd w:id="59"/>
      <w:bookmarkEnd w:id="60"/>
    </w:p>
    <w:p w14:paraId="4D059AB4">
      <w:pPr>
        <w:spacing w:line="360" w:lineRule="auto"/>
        <w:rPr>
          <w:rFonts w:hint="eastAsia" w:ascii="宋体" w:hAnsi="宋体" w:eastAsia="宋体" w:cs="宋体"/>
          <w:color w:val="auto"/>
          <w:szCs w:val="21"/>
          <w:highlight w:val="none"/>
        </w:rPr>
      </w:pPr>
    </w:p>
    <w:p w14:paraId="527EBA66">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8.磋商文件的构成</w:t>
      </w:r>
    </w:p>
    <w:p w14:paraId="057BB47C">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（1）竞争性磋商公告；</w:t>
      </w:r>
    </w:p>
    <w:p w14:paraId="72696DAF">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（2）供应商须知； </w:t>
      </w:r>
    </w:p>
    <w:p w14:paraId="2D700EFA">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（3）采购需求；</w:t>
      </w:r>
    </w:p>
    <w:p w14:paraId="449D9A98">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（4）评审程序、评审方法和评审标准；</w:t>
      </w:r>
    </w:p>
    <w:p w14:paraId="16A788A4">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（5）响应文件格式；</w:t>
      </w:r>
    </w:p>
    <w:p w14:paraId="381787DA">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（6）合同文本。</w:t>
      </w:r>
    </w:p>
    <w:p w14:paraId="540F77F7">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9.供应商的询问</w:t>
      </w:r>
    </w:p>
    <w:p w14:paraId="14C22709">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供应商应认真阅读磋商文件的采购需求，如供应商对磋商文件有疑问的，如要求采购人作出澄清或者修改的，供应商</w:t>
      </w:r>
      <w:r>
        <w:rPr>
          <w:rFonts w:hint="eastAsia" w:ascii="宋体" w:hAnsi="宋体" w:eastAsia="宋体" w:cs="宋体"/>
          <w:color w:val="auto"/>
          <w:szCs w:val="21"/>
          <w:highlight w:val="none"/>
          <w:lang w:val="en-US" w:eastAsia="zh-CN"/>
        </w:rPr>
        <w:t>应</w:t>
      </w:r>
      <w:r>
        <w:rPr>
          <w:rFonts w:hint="eastAsia" w:ascii="宋体" w:hAnsi="宋体" w:eastAsia="宋体" w:cs="宋体"/>
          <w:color w:val="auto"/>
          <w:szCs w:val="21"/>
          <w:highlight w:val="none"/>
        </w:rPr>
        <w:t>在提交首次响应文件截止之日前，以书面形式向采购人、采购代理机构提出。</w:t>
      </w:r>
    </w:p>
    <w:p w14:paraId="14A8BF6D">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10.磋商文件的澄清和修改</w:t>
      </w:r>
    </w:p>
    <w:p w14:paraId="3704C3D5">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或者磋商小组在提交首次响应文件截止之日3个工作日前，以书面形式通知所有获取磋商文件的供应商，不足3个工作日的，应当顺延提交首次响应文件截止之日。</w:t>
      </w:r>
    </w:p>
    <w:p w14:paraId="23AA9FD5">
      <w:pPr>
        <w:spacing w:line="360" w:lineRule="auto"/>
        <w:rPr>
          <w:rFonts w:hint="eastAsia" w:ascii="宋体" w:hAnsi="宋体" w:eastAsia="宋体" w:cs="宋体"/>
          <w:color w:val="auto"/>
          <w:szCs w:val="21"/>
          <w:highlight w:val="none"/>
        </w:rPr>
      </w:pPr>
    </w:p>
    <w:p w14:paraId="689EE17D">
      <w:pPr>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 w:val="32"/>
          <w:szCs w:val="32"/>
          <w:highlight w:val="none"/>
        </w:rPr>
        <w:t>三、响应文件的编制</w:t>
      </w:r>
    </w:p>
    <w:p w14:paraId="06CFDFA7">
      <w:pPr>
        <w:spacing w:line="360" w:lineRule="auto"/>
        <w:rPr>
          <w:rFonts w:hint="eastAsia" w:ascii="宋体" w:hAnsi="宋体" w:eastAsia="宋体" w:cs="宋体"/>
          <w:color w:val="auto"/>
          <w:szCs w:val="21"/>
          <w:highlight w:val="none"/>
        </w:rPr>
      </w:pPr>
    </w:p>
    <w:p w14:paraId="096D275A">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11.响应文件的编制原则</w:t>
      </w:r>
    </w:p>
    <w:p w14:paraId="5C9D1636">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供应商必须按照磋商文件的要求编制响应文件，并对其提交的响应文件的真实性、合法性承担法律责任。响应文件必须对磋商文件作出实质性响应。</w:t>
      </w:r>
    </w:p>
    <w:p w14:paraId="55A03DDB">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12.响应文件的组成</w:t>
      </w:r>
    </w:p>
    <w:p w14:paraId="7A9C3959">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12.1响应文件由资格证明文件、报价文件、商务技术文件三部分组成。</w:t>
      </w:r>
    </w:p>
    <w:p w14:paraId="17C620F6">
      <w:pPr>
        <w:spacing w:line="360" w:lineRule="auto"/>
        <w:ind w:left="840" w:hanging="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12.1.1资格证明文件：详见“供应商须知前附表”</w:t>
      </w:r>
    </w:p>
    <w:p w14:paraId="568471F7">
      <w:pPr>
        <w:spacing w:line="360" w:lineRule="auto"/>
        <w:ind w:left="840" w:hanging="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12.1.2报价文件：详见“供应商须知前附表”</w:t>
      </w:r>
    </w:p>
    <w:p w14:paraId="1D857F72">
      <w:pPr>
        <w:spacing w:line="360" w:lineRule="auto"/>
        <w:ind w:left="840" w:hanging="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12.1.3商务技术文件：详见“供应商须知前附表”</w:t>
      </w:r>
    </w:p>
    <w:p w14:paraId="644531F1">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13.计量单位</w:t>
      </w:r>
    </w:p>
    <w:p w14:paraId="408D1249">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磋商文件已有明确规定的，使用磋商文件规定的计量单位；磋商文件没有规定的，应采用中华人民共和国法定计量单位，货币种类为人民币，否则视同未响应。</w:t>
      </w:r>
    </w:p>
    <w:p w14:paraId="48822C47">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14.竞标的风险</w:t>
      </w:r>
    </w:p>
    <w:p w14:paraId="47B892FD">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供应商没有按照磋商文件要求提供全部资料，或者供应商没有对磋商文件在各方面作出实质性响应可能导致其响应无效，是供应商应当考虑的风险。</w:t>
      </w:r>
    </w:p>
    <w:p w14:paraId="25F1B4A7">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15.竞标报价</w:t>
      </w:r>
    </w:p>
    <w:p w14:paraId="55E2E606">
      <w:pPr>
        <w:tabs>
          <w:tab w:val="left" w:pos="2492"/>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15.1竞标报价应按磋商文件中“竞标报价表”格式填写。</w:t>
      </w:r>
    </w:p>
    <w:p w14:paraId="6817BE3E">
      <w:pPr>
        <w:tabs>
          <w:tab w:val="left" w:pos="2492"/>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15.2竞标报价的内容见“供应商须知前附表”。</w:t>
      </w:r>
    </w:p>
    <w:p w14:paraId="7EC6EE8F">
      <w:pPr>
        <w:spacing w:line="360" w:lineRule="auto"/>
        <w:ind w:left="426"/>
        <w:rPr>
          <w:rFonts w:hint="eastAsia" w:ascii="宋体" w:hAnsi="宋体" w:eastAsia="宋体" w:cs="宋体"/>
          <w:color w:val="auto"/>
          <w:szCs w:val="21"/>
          <w:highlight w:val="none"/>
        </w:rPr>
      </w:pPr>
      <w:r>
        <w:rPr>
          <w:rFonts w:hint="eastAsia" w:ascii="宋体" w:hAnsi="宋体" w:eastAsia="宋体" w:cs="宋体"/>
          <w:color w:val="auto"/>
          <w:szCs w:val="21"/>
          <w:highlight w:val="none"/>
        </w:rPr>
        <w:t>15.3竞标报价要求</w:t>
      </w:r>
    </w:p>
    <w:p w14:paraId="2C2A16EA">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15.3.1供应商的竞标报价应符合以下要求，否则响应文件按无效响应处理：</w:t>
      </w:r>
    </w:p>
    <w:p w14:paraId="284D8BD1">
      <w:pPr>
        <w:spacing w:line="360" w:lineRule="auto"/>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（1）供应商必须就“采购需求”中所竞标的每个分标的全部内容分别作完整唯一总价报价，</w:t>
      </w:r>
    </w:p>
    <w:p w14:paraId="44E3139D">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不得存在漏项报价；</w:t>
      </w:r>
    </w:p>
    <w:p w14:paraId="5334D28E">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（2）供应商必须就所竞标的分标的单项内容作唯一报价。</w:t>
      </w:r>
    </w:p>
    <w:p w14:paraId="2BFC832D">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15.3.2竞标报价（包含首次报价、最后报价）超过所竞标分标规定的采购预算金额或者最高限价的，其响应文件将按无效处理。</w:t>
      </w:r>
    </w:p>
    <w:p w14:paraId="2CB9C9C7">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15.3.3</w:t>
      </w:r>
      <w:bookmarkStart w:id="61" w:name="_Hlk42592874"/>
      <w:r>
        <w:rPr>
          <w:rFonts w:hint="eastAsia" w:ascii="宋体" w:hAnsi="宋体" w:eastAsia="宋体" w:cs="宋体"/>
          <w:color w:val="auto"/>
          <w:szCs w:val="21"/>
          <w:highlight w:val="none"/>
        </w:rPr>
        <w:t>竞标报价（包含首次报价、最后报价）超过分项采购预算金额或者最高限价的，其响应文件将按无效处理。</w:t>
      </w:r>
      <w:bookmarkEnd w:id="61"/>
    </w:p>
    <w:p w14:paraId="7151CB2E">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16.竞标有效期</w:t>
      </w:r>
    </w:p>
    <w:p w14:paraId="0331B00A">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16.1竞标有效期是指为保证采购人有足够的时间在提交响应文件后完成评审、确定成交供应商、合同签订等工作而要求供应商提交的响应文件在一定时间内保持有效的期限。</w:t>
      </w:r>
    </w:p>
    <w:p w14:paraId="3AC72B03">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 竞标有效期应由供应商按“供应商须知前附表”规定的期限作出响应。</w:t>
      </w:r>
    </w:p>
    <w:p w14:paraId="7E5CFD22">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16.3供应商的响应文件在竞标有效期内均保持有效。</w:t>
      </w:r>
    </w:p>
    <w:p w14:paraId="12847630">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17.磋商保证金</w:t>
      </w:r>
    </w:p>
    <w:p w14:paraId="5C0E51C1">
      <w:pPr>
        <w:spacing w:line="360" w:lineRule="auto"/>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17.1供应商须按“供应商须知前附表”的规定提交磋商保证金。</w:t>
      </w:r>
    </w:p>
    <w:p w14:paraId="0BCCDE60">
      <w:pPr>
        <w:spacing w:line="360" w:lineRule="auto"/>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17.2磋商保证金的退还</w:t>
      </w:r>
    </w:p>
    <w:p w14:paraId="6A96698A">
      <w:pPr>
        <w:spacing w:line="360" w:lineRule="auto"/>
        <w:ind w:firstLine="420"/>
        <w:rPr>
          <w:rFonts w:hint="eastAsia" w:ascii="宋体" w:hAnsi="宋体" w:eastAsia="宋体" w:cs="宋体"/>
          <w:color w:val="auto"/>
          <w:szCs w:val="21"/>
          <w:highlight w:val="none"/>
        </w:rPr>
      </w:pPr>
      <w:bookmarkStart w:id="62" w:name="_Hlk66782243"/>
      <w:r>
        <w:rPr>
          <w:rFonts w:hint="eastAsia" w:ascii="宋体" w:hAnsi="宋体" w:eastAsia="宋体" w:cs="宋体"/>
          <w:color w:val="auto"/>
          <w:szCs w:val="21"/>
          <w:highlight w:val="none"/>
        </w:rPr>
        <w:t>未</w:t>
      </w:r>
      <w:r>
        <w:rPr>
          <w:rFonts w:hint="eastAsia" w:ascii="宋体" w:hAnsi="宋体" w:eastAsia="宋体" w:cs="宋体"/>
          <w:color w:val="auto"/>
          <w:spacing w:val="-6"/>
          <w:szCs w:val="21"/>
          <w:highlight w:val="none"/>
        </w:rPr>
        <w:t>成交供应商的</w:t>
      </w:r>
      <w:r>
        <w:rPr>
          <w:rFonts w:hint="eastAsia" w:ascii="宋体" w:hAnsi="宋体" w:eastAsia="宋体" w:cs="宋体"/>
          <w:color w:val="auto"/>
          <w:spacing w:val="-6"/>
          <w:szCs w:val="21"/>
          <w:highlight w:val="none"/>
          <w:lang w:val="en-US" w:eastAsia="zh-CN"/>
        </w:rPr>
        <w:t>磋商</w:t>
      </w:r>
      <w:r>
        <w:rPr>
          <w:rFonts w:hint="eastAsia" w:ascii="宋体" w:hAnsi="宋体" w:eastAsia="宋体" w:cs="宋体"/>
          <w:color w:val="auto"/>
          <w:spacing w:val="-6"/>
          <w:szCs w:val="21"/>
          <w:highlight w:val="none"/>
        </w:rPr>
        <w:t>保证金自成交通知书发出之日起5个工作日内退还；</w:t>
      </w:r>
      <w:r>
        <w:rPr>
          <w:rFonts w:hint="eastAsia" w:ascii="宋体" w:hAnsi="宋体" w:eastAsia="宋体" w:cs="宋体"/>
          <w:color w:val="auto"/>
          <w:szCs w:val="21"/>
          <w:highlight w:val="none"/>
        </w:rPr>
        <w:t>成交供应商的磋商保证金自签订合同之日起5个工作日内退还。</w:t>
      </w:r>
      <w:bookmarkEnd w:id="62"/>
      <w:r>
        <w:rPr>
          <w:rFonts w:hint="eastAsia" w:ascii="宋体" w:hAnsi="宋体" w:eastAsia="宋体" w:cs="宋体"/>
          <w:color w:val="auto"/>
          <w:szCs w:val="21"/>
          <w:highlight w:val="none"/>
        </w:rPr>
        <w:t xml:space="preserve"> </w:t>
      </w:r>
    </w:p>
    <w:p w14:paraId="719C1F4F">
      <w:pPr>
        <w:spacing w:line="360" w:lineRule="auto"/>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17.3磋商保证金不计息。</w:t>
      </w:r>
    </w:p>
    <w:p w14:paraId="57BEB3CD">
      <w:pPr>
        <w:spacing w:line="360" w:lineRule="auto"/>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17.4供应商有下列情形之一的，磋商保证金将不予退还： </w:t>
      </w:r>
    </w:p>
    <w:p w14:paraId="6E5B21CC">
      <w:pPr>
        <w:spacing w:line="360" w:lineRule="auto"/>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（1）供应商在提交响应文件截止时间后撤回响应文件的；</w:t>
      </w:r>
    </w:p>
    <w:p w14:paraId="29BB32C9">
      <w:pPr>
        <w:spacing w:line="360" w:lineRule="auto"/>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（2）未按规定提交履约保证金的；</w:t>
      </w:r>
    </w:p>
    <w:p w14:paraId="63861889">
      <w:pPr>
        <w:spacing w:line="360" w:lineRule="auto"/>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（3）供应商在响应文件中提供虚假材料的；</w:t>
      </w:r>
    </w:p>
    <w:p w14:paraId="361B78C8">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（4）除因不可抗力或者磋商文件认可的情形以外，成交供应商不与采购人签订合同的；</w:t>
      </w:r>
    </w:p>
    <w:p w14:paraId="37A78DB0">
      <w:pPr>
        <w:spacing w:line="360" w:lineRule="auto"/>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（5）供应商与采购人、其他供应商或者采购代理机构恶意串通的；</w:t>
      </w:r>
    </w:p>
    <w:p w14:paraId="3E67E9E6">
      <w:pPr>
        <w:spacing w:line="360" w:lineRule="auto"/>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（6）法律法规规定的其他情形。</w:t>
      </w:r>
    </w:p>
    <w:p w14:paraId="5131535C">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18.响应文件编制的要求</w:t>
      </w:r>
    </w:p>
    <w:p w14:paraId="1C341153">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18.1响应文件内容不完整、编排混乱导致响应文件被误读、漏读或者查找不到相关内容的，由此引发的后果由供应商承担。</w:t>
      </w:r>
    </w:p>
    <w:p w14:paraId="08A692B2">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18.2响应文件须由供应商在规定位置签字、盖章（具体以供应商须知前附表或响应文件格式规定为准），</w:t>
      </w:r>
      <w:r>
        <w:rPr>
          <w:rFonts w:hint="eastAsia" w:ascii="宋体" w:hAnsi="宋体" w:eastAsia="宋体" w:cs="宋体"/>
          <w:b/>
          <w:bCs/>
          <w:color w:val="auto"/>
          <w:szCs w:val="21"/>
          <w:highlight w:val="none"/>
        </w:rPr>
        <w:t>否则按无效响应处理。</w:t>
      </w:r>
    </w:p>
    <w:p w14:paraId="4FB67CB8">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18.3</w:t>
      </w:r>
      <w:r>
        <w:rPr>
          <w:rFonts w:hint="eastAsia" w:ascii="宋体" w:hAnsi="宋体" w:eastAsia="宋体" w:cs="宋体"/>
          <w:color w:val="auto"/>
          <w:szCs w:val="21"/>
          <w:highlight w:val="none"/>
        </w:rPr>
        <w:t>响应文件</w:t>
      </w:r>
      <w:r>
        <w:rPr>
          <w:rFonts w:hint="eastAsia" w:ascii="宋体" w:hAnsi="宋体" w:cs="宋体"/>
          <w:color w:val="auto"/>
          <w:szCs w:val="21"/>
          <w:highlight w:val="none"/>
          <w:lang w:val="en-US" w:eastAsia="zh-CN"/>
        </w:rPr>
        <w:t>中，标</w:t>
      </w:r>
      <w:r>
        <w:rPr>
          <w:rFonts w:hint="eastAsia" w:ascii="宋体" w:hAnsi="宋体" w:eastAsia="宋体" w:cs="宋体"/>
          <w:color w:val="auto"/>
          <w:szCs w:val="21"/>
          <w:highlight w:val="none"/>
        </w:rPr>
        <w:t>注的供应商名称</w:t>
      </w:r>
      <w:r>
        <w:rPr>
          <w:rFonts w:hint="eastAsia" w:ascii="宋体" w:hAnsi="宋体" w:eastAsia="宋体" w:cs="宋体"/>
          <w:color w:val="auto"/>
          <w:szCs w:val="21"/>
          <w:highlight w:val="none"/>
        </w:rPr>
        <w:t>应与主体资格证明（如营业执照或者事业单位法人证书或者执业许可证或者登记证书等）及公章一致，供应商为自然人的，标注的供应商名称应与身份证姓名及签名一致，</w:t>
      </w:r>
      <w:r>
        <w:rPr>
          <w:rFonts w:hint="eastAsia" w:ascii="宋体" w:hAnsi="宋体" w:eastAsia="宋体" w:cs="宋体"/>
          <w:b/>
          <w:bCs/>
          <w:color w:val="auto"/>
          <w:szCs w:val="21"/>
          <w:highlight w:val="none"/>
        </w:rPr>
        <w:t>否则其响应文件按无效响应处理</w:t>
      </w:r>
      <w:r>
        <w:rPr>
          <w:rFonts w:hint="eastAsia" w:ascii="宋体" w:hAnsi="宋体" w:eastAsia="宋体" w:cs="宋体"/>
          <w:color w:val="auto"/>
          <w:szCs w:val="21"/>
          <w:highlight w:val="none"/>
        </w:rPr>
        <w:t>。</w:t>
      </w:r>
    </w:p>
    <w:p w14:paraId="5F854729">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18.4响应文件应尽量避免涂改、行间插字或者删除。如果出现上述情况，改动之处应由供应商的法定代表人或者其委托代理人签字或者加盖公章。响应文件因涂改、行间插字或者删除导致字迹潦草或者表达不清所引起的后果由供应商承担。</w:t>
      </w:r>
    </w:p>
    <w:p w14:paraId="2BD34D0B">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19.响应文件的提交</w:t>
      </w:r>
    </w:p>
    <w:p w14:paraId="29C65E34">
      <w:pPr>
        <w:spacing w:line="360" w:lineRule="auto"/>
        <w:ind w:firstLine="420"/>
        <w:rPr>
          <w:rFonts w:hint="eastAsia" w:ascii="宋体" w:hAnsi="宋体" w:eastAsia="宋体" w:cs="宋体"/>
          <w:b/>
          <w:color w:val="auto"/>
          <w:highlight w:val="none"/>
        </w:rPr>
      </w:pPr>
      <w:r>
        <w:rPr>
          <w:rFonts w:hint="eastAsia" w:ascii="宋体" w:hAnsi="宋体" w:eastAsia="宋体" w:cs="宋体"/>
          <w:bCs/>
          <w:color w:val="auto"/>
          <w:szCs w:val="21"/>
          <w:highlight w:val="none"/>
        </w:rPr>
        <w:t>19.1供应商必须按“供应商须知前附表”规定的</w:t>
      </w:r>
      <w:r>
        <w:rPr>
          <w:rFonts w:hint="eastAsia" w:ascii="宋体" w:hAnsi="宋体" w:eastAsia="宋体" w:cs="宋体"/>
          <w:color w:val="auto"/>
          <w:szCs w:val="21"/>
          <w:highlight w:val="none"/>
        </w:rPr>
        <w:t>时间及</w:t>
      </w:r>
      <w:r>
        <w:rPr>
          <w:rFonts w:hint="eastAsia" w:ascii="宋体" w:hAnsi="宋体" w:eastAsia="宋体" w:cs="宋体"/>
          <w:bCs/>
          <w:color w:val="auto"/>
          <w:szCs w:val="21"/>
          <w:highlight w:val="none"/>
        </w:rPr>
        <w:t>地点提交响应文件。</w:t>
      </w:r>
    </w:p>
    <w:p w14:paraId="3D69AB7B">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20.首次响应文件的补充、修改与撤回</w:t>
      </w:r>
    </w:p>
    <w:p w14:paraId="462580DC">
      <w:pPr>
        <w:spacing w:line="360" w:lineRule="auto"/>
        <w:ind w:firstLine="420"/>
        <w:jc w:val="left"/>
        <w:rPr>
          <w:rFonts w:hint="eastAsia" w:ascii="宋体" w:hAnsi="宋体" w:eastAsia="宋体" w:cs="宋体"/>
          <w:color w:val="auto"/>
          <w:szCs w:val="21"/>
          <w:highlight w:val="none"/>
        </w:rPr>
      </w:pPr>
      <w:bookmarkStart w:id="63" w:name="_Toc254970684"/>
      <w:bookmarkStart w:id="64" w:name="_Toc254970543"/>
      <w:r>
        <w:rPr>
          <w:rFonts w:hint="eastAsia" w:ascii="宋体" w:hAnsi="宋体" w:eastAsia="宋体" w:cs="宋体"/>
          <w:color w:val="auto"/>
          <w:szCs w:val="21"/>
          <w:highlight w:val="none"/>
        </w:rPr>
        <w:t>20.1</w:t>
      </w:r>
      <w:r>
        <w:rPr>
          <w:rFonts w:hint="eastAsia" w:ascii="宋体" w:hAnsi="宋体" w:eastAsia="宋体" w:cs="宋体"/>
          <w:bCs/>
          <w:color w:val="auto"/>
          <w:szCs w:val="21"/>
          <w:highlight w:val="none"/>
        </w:rPr>
        <w:t>供应商应当在提交响应文件截止时间前完成响应文件的提交，提交响应文件截止时间前可以补充、修改或者撤回响应文件。补充或者修改响应文件的，应当先行撤回原响应文件，补充、修改后重新提交，提交响应文件截止时间前未完成提交的，视为撤回响应文件。提交响应文件截止时间以后提交的响应文件，采购代理机构将予以拒收。</w:t>
      </w:r>
      <w:bookmarkEnd w:id="63"/>
      <w:bookmarkEnd w:id="64"/>
    </w:p>
    <w:p w14:paraId="57D5343C">
      <w:pPr>
        <w:pStyle w:val="266"/>
        <w:spacing w:before="0"/>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20.2在提交响应文件截止时间前，除供应商补充、修改或者撤回响应文件外，任何单位和个人不得解封响应文件。</w:t>
      </w:r>
    </w:p>
    <w:p w14:paraId="580FBD71">
      <w:pPr>
        <w:spacing w:line="360" w:lineRule="auto"/>
        <w:ind w:firstLine="482"/>
        <w:rPr>
          <w:rFonts w:hint="eastAsia" w:ascii="宋体" w:hAnsi="宋体" w:eastAsia="宋体" w:cs="宋体"/>
          <w:b/>
          <w:bCs/>
          <w:color w:val="auto"/>
          <w:sz w:val="24"/>
          <w:highlight w:val="none"/>
        </w:rPr>
      </w:pPr>
      <w:bookmarkStart w:id="65" w:name="_Hlk45702405"/>
      <w:r>
        <w:rPr>
          <w:rFonts w:hint="eastAsia" w:ascii="宋体" w:hAnsi="宋体" w:eastAsia="宋体" w:cs="宋体"/>
          <w:b/>
          <w:bCs/>
          <w:color w:val="auto"/>
          <w:sz w:val="24"/>
          <w:highlight w:val="none"/>
        </w:rPr>
        <w:t>21.响应文件的退回</w:t>
      </w:r>
    </w:p>
    <w:p w14:paraId="71626E6F">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采购人和采购代理机构对已提交的响应文件概不退回。</w:t>
      </w:r>
    </w:p>
    <w:p w14:paraId="2AE73FCA">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22.截止时间后的撤回</w:t>
      </w:r>
    </w:p>
    <w:p w14:paraId="74D210AE">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供应商在响应文件提交截止时间后向采购人、采购代理机构书面申请撤回响应文件的，将根据本须知正文17.4的规定不予退还其磋商保证金。</w:t>
      </w:r>
      <w:bookmarkEnd w:id="65"/>
    </w:p>
    <w:p w14:paraId="5CEA821F">
      <w:pPr>
        <w:spacing w:line="360" w:lineRule="auto"/>
        <w:rPr>
          <w:rFonts w:hint="eastAsia" w:ascii="宋体" w:hAnsi="宋体" w:eastAsia="宋体" w:cs="宋体"/>
          <w:color w:val="auto"/>
          <w:szCs w:val="21"/>
          <w:highlight w:val="none"/>
        </w:rPr>
      </w:pPr>
    </w:p>
    <w:p w14:paraId="44C0D44B">
      <w:pPr>
        <w:spacing w:line="360" w:lineRule="auto"/>
        <w:ind w:left="420" w:firstLine="42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四、评审及磋商</w:t>
      </w:r>
    </w:p>
    <w:p w14:paraId="74279695">
      <w:pPr>
        <w:spacing w:line="360" w:lineRule="auto"/>
        <w:ind w:left="420" w:firstLine="420"/>
        <w:rPr>
          <w:rFonts w:hint="eastAsia" w:ascii="宋体" w:hAnsi="宋体" w:eastAsia="宋体" w:cs="宋体"/>
          <w:color w:val="auto"/>
          <w:szCs w:val="21"/>
          <w:highlight w:val="none"/>
        </w:rPr>
      </w:pPr>
    </w:p>
    <w:p w14:paraId="26DFD31F">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23.磋商小组成立</w:t>
      </w:r>
    </w:p>
    <w:p w14:paraId="77655EA9">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23.1磋商小组由采购人代表和评审专家共3人以上单数组成，具体人数见“供应商须知前附表”，其中评审专家人数不得少于磋商小组成员总数的2/3。采购人代表不得以评审专家身份参加本部门或者本单位采购项目的评审。采购代理机构人员不得参加本机构代理的采购项目的评审。</w:t>
      </w:r>
    </w:p>
    <w:p w14:paraId="4021A69C">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23.2评审专家应当从评审专家库内相关专业的专家名单中随机抽取。市场竞争不充分的科研项目，以及需要扶持的科技成果转化项目，以及情况特殊、通过随机方式难以确定合适的评审专家的项目，可以自行选定评审专家。技术复杂、专业性强的采购项目，评审专家中应当包含1名法律专家。</w:t>
      </w:r>
    </w:p>
    <w:p w14:paraId="387FC56F">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24.首次响应文件的开启</w:t>
      </w:r>
    </w:p>
    <w:p w14:paraId="7783E1E2">
      <w:pPr>
        <w:spacing w:line="360" w:lineRule="auto"/>
        <w:ind w:firstLine="420"/>
        <w:rPr>
          <w:rFonts w:hint="eastAsia" w:ascii="宋体" w:hAnsi="宋体" w:eastAsia="宋体" w:cs="宋体"/>
          <w:color w:val="auto"/>
          <w:szCs w:val="21"/>
          <w:highlight w:val="none"/>
        </w:rPr>
      </w:pPr>
      <w:r>
        <w:rPr>
          <w:rFonts w:hint="eastAsia" w:ascii="宋体" w:hAnsi="宋体" w:eastAsia="宋体" w:cs="宋体"/>
          <w:bCs/>
          <w:color w:val="auto"/>
          <w:highlight w:val="none"/>
        </w:rPr>
        <w:t>采购代理机构将在“供应商须知前附表”规定的时</w:t>
      </w:r>
      <w:r>
        <w:rPr>
          <w:rFonts w:hint="eastAsia" w:ascii="宋体" w:hAnsi="宋体" w:eastAsia="宋体" w:cs="宋体"/>
          <w:color w:val="auto"/>
          <w:highlight w:val="none"/>
        </w:rPr>
        <w:t>间开启响应文件。</w:t>
      </w:r>
    </w:p>
    <w:p w14:paraId="5B1D8058">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25.评审程序、评审方法和评审标准</w:t>
      </w:r>
    </w:p>
    <w:p w14:paraId="2336E531">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25.1本项目的评审方法为综合评分法。</w:t>
      </w:r>
    </w:p>
    <w:p w14:paraId="1C6042A8">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25.2磋商小组按照“第四章 评审程序、评审方法和评审标准”规定的方法、评审因素、标准和程序对响应文件进行评审。</w:t>
      </w:r>
    </w:p>
    <w:p w14:paraId="1D1BF88A">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25.3 商务/技术要求允许负偏离的条款数详见“供应商须知前附表”。</w:t>
      </w:r>
    </w:p>
    <w:p w14:paraId="3DB9D767">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highlight w:val="none"/>
        </w:rPr>
        <w:t>25.4磋商小组成员要依法独立评审，并对评审意见承担个人责任。磋商小组成员对需要共同认定的事项存在争议的，按照少数服从多数的原则做出结论。持不同意见的磋商小组成员应当在评审报告上签署不同意见并说明理由，否则视为同意。</w:t>
      </w:r>
    </w:p>
    <w:p w14:paraId="6B8BD893">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26.确定成交供应商及结果公告</w:t>
      </w:r>
    </w:p>
    <w:p w14:paraId="101EDEE0">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26.1 采购代理机构应当在评审结束后2个工作日内将评审报告送采购人确认。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68C081F5">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26.2采购代理机构应当在成交供应商确定后2个工作日内，在发布竞争性磋商公告的媒体上公告成交结果，同时向成交供应商发出成交通知书。采购人或者采购代理机构发出成交通知书前，应当对成交供应商信用进行查询，被列入失信被执行人、重大税收违法失信主体、政府采购严重违法失信行为记录名单及其他不符合《中华人民共和国政府采购法》第二十二条规定条件的供应商，取消其成交资格，并确定排名第二的成交候选人为成交供应商。排名第二的成交候选人因上述规定的同样原因被取消成交资格的，采购人可以确定排名第三的成交候选人为成交供应商，以此类推。以上信息查询记录及相关证据与磋商文件一并保存。成交供应商享受《政府采购促进中小企业发展管理办法》（财库〔2020〕46号）规定的中小企业扶持政策</w:t>
      </w:r>
      <w:r>
        <w:rPr>
          <w:rFonts w:hint="eastAsia" w:ascii="宋体" w:hAnsi="宋体" w:eastAsia="宋体" w:cs="宋体"/>
          <w:color w:val="auto"/>
          <w:szCs w:val="21"/>
          <w:highlight w:val="none"/>
          <w:lang w:eastAsia="zh-CN"/>
        </w:rPr>
        <w:t>，应当随成交结果公开成交供应商的《中小企业声明函》。</w:t>
      </w:r>
    </w:p>
    <w:p w14:paraId="1558E372">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26.3出现下列情形之一的，采购人或者采购代理机构应当终止竞争性磋商采购活动，发布项目终止公告并说明原因，重新开展采购活动：</w:t>
      </w:r>
    </w:p>
    <w:p w14:paraId="581FD57D">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（1）因情况变化，不再符合规定的竞争性磋商采购方式适用情形的；</w:t>
      </w:r>
    </w:p>
    <w:p w14:paraId="17F40FBA">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（2）出现影响采购公正的违法、违规行为的；</w:t>
      </w:r>
    </w:p>
    <w:p w14:paraId="02908E72">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（3）除“第四章 评审程序、评审方法和评审标准”第4.3条规定的情形外，在采购过程中符合要求的供应商或者报价未超过采购预算的供应商不足3家的。</w:t>
      </w:r>
    </w:p>
    <w:p w14:paraId="2CA414DE">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26.4 在采购活动中因重大变故，采购任务取消的，采购人或者采购代理机构应当终止采购活动，通知所有参加采购活动的供应商。</w:t>
      </w:r>
    </w:p>
    <w:p w14:paraId="786BE9BD">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27.履约保证金</w:t>
      </w:r>
    </w:p>
    <w:p w14:paraId="42C88AE8">
      <w:pPr>
        <w:spacing w:line="360" w:lineRule="auto"/>
        <w:ind w:firstLine="424"/>
        <w:rPr>
          <w:rFonts w:hint="eastAsia" w:ascii="宋体" w:hAnsi="宋体" w:eastAsia="宋体" w:cs="宋体"/>
          <w:color w:val="auto"/>
          <w:szCs w:val="21"/>
          <w:highlight w:val="none"/>
        </w:rPr>
      </w:pPr>
      <w:r>
        <w:rPr>
          <w:rFonts w:hint="eastAsia" w:ascii="宋体" w:hAnsi="宋体" w:eastAsia="宋体" w:cs="宋体"/>
          <w:color w:val="auto"/>
          <w:szCs w:val="21"/>
          <w:highlight w:val="none"/>
        </w:rPr>
        <w:t>27.1 履约保证金的金额、提交方式、退付的时间和条件详见 “供应商须知前附表”。成交供应商未按规定提交履约保证金的，视为拒绝</w:t>
      </w:r>
      <w:r>
        <w:rPr>
          <w:rFonts w:hint="eastAsia" w:ascii="宋体" w:hAnsi="宋体" w:eastAsia="宋体" w:cs="宋体"/>
          <w:color w:val="auto"/>
          <w:highlight w:val="none"/>
        </w:rPr>
        <w:t>与采购人</w:t>
      </w:r>
      <w:r>
        <w:rPr>
          <w:rFonts w:hint="eastAsia" w:ascii="宋体" w:hAnsi="宋体" w:eastAsia="宋体" w:cs="宋体"/>
          <w:color w:val="auto"/>
          <w:szCs w:val="21"/>
          <w:highlight w:val="none"/>
        </w:rPr>
        <w:t>签订合同。</w:t>
      </w:r>
    </w:p>
    <w:p w14:paraId="35F4BA4C">
      <w:pPr>
        <w:spacing w:line="360" w:lineRule="auto"/>
        <w:ind w:firstLine="424"/>
        <w:rPr>
          <w:rFonts w:hint="eastAsia" w:ascii="宋体" w:hAnsi="宋体" w:eastAsia="宋体" w:cs="宋体"/>
          <w:color w:val="auto"/>
          <w:szCs w:val="21"/>
          <w:highlight w:val="none"/>
        </w:rPr>
      </w:pPr>
      <w:r>
        <w:rPr>
          <w:rFonts w:hint="eastAsia" w:ascii="宋体" w:hAnsi="宋体" w:eastAsia="宋体" w:cs="宋体"/>
          <w:color w:val="auto"/>
          <w:szCs w:val="21"/>
          <w:highlight w:val="none"/>
        </w:rPr>
        <w:t>27.2在履约保证金退还日期前，若成交供应商的开户名称、开户银行、账号有变动的，请以书面形式通知履约保证金收取单位，否则由此产生的后果由成交供应商自行承担。</w:t>
      </w:r>
    </w:p>
    <w:p w14:paraId="58E4ED64">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28.签订合同</w:t>
      </w:r>
    </w:p>
    <w:p w14:paraId="2171F898">
      <w:pPr>
        <w:spacing w:line="360" w:lineRule="auto"/>
        <w:ind w:firstLine="424"/>
        <w:rPr>
          <w:rFonts w:hint="eastAsia" w:ascii="宋体" w:hAnsi="宋体" w:eastAsia="宋体" w:cs="宋体"/>
          <w:color w:val="auto"/>
          <w:szCs w:val="21"/>
          <w:highlight w:val="none"/>
        </w:rPr>
      </w:pPr>
      <w:r>
        <w:rPr>
          <w:rFonts w:hint="eastAsia" w:ascii="宋体" w:hAnsi="宋体" w:eastAsia="宋体" w:cs="宋体"/>
          <w:color w:val="auto"/>
          <w:szCs w:val="21"/>
          <w:highlight w:val="none"/>
        </w:rPr>
        <w:t>28.1签订采购合同：成交供应商领取成交通知书后，按“供应商须知前附表”规定向采购人出示相关证明材料，在</w:t>
      </w:r>
      <w:r>
        <w:rPr>
          <w:rFonts w:hint="eastAsia" w:ascii="宋体" w:hAnsi="宋体" w:eastAsia="宋体" w:cs="宋体"/>
          <w:color w:val="auto"/>
          <w:szCs w:val="21"/>
          <w:highlight w:val="none"/>
          <w:lang w:val="zh-CN"/>
        </w:rPr>
        <w:t>规定的日期、时间、地点，由法定代表人或其授权代表与采购人代表</w:t>
      </w:r>
      <w:r>
        <w:rPr>
          <w:rFonts w:hint="eastAsia" w:ascii="宋体" w:hAnsi="宋体" w:eastAsia="宋体" w:cs="宋体"/>
          <w:color w:val="auto"/>
          <w:szCs w:val="21"/>
          <w:highlight w:val="none"/>
        </w:rPr>
        <w:t>核验合格后方可签订合同。</w:t>
      </w:r>
      <w:r>
        <w:rPr>
          <w:rFonts w:hint="eastAsia" w:ascii="宋体" w:hAnsi="宋体" w:eastAsia="宋体" w:cs="宋体"/>
          <w:color w:val="auto"/>
          <w:szCs w:val="21"/>
          <w:highlight w:val="none"/>
          <w:lang w:val="zh-CN"/>
        </w:rPr>
        <w:t>如成交供应商为联合体的，由联合体成员各方法定代表人或其授权代表与采购人代表签订合同。</w:t>
      </w:r>
    </w:p>
    <w:p w14:paraId="45EC930E">
      <w:pPr>
        <w:spacing w:line="360" w:lineRule="auto"/>
        <w:ind w:firstLine="424"/>
        <w:rPr>
          <w:rFonts w:hint="eastAsia" w:ascii="宋体" w:hAnsi="宋体" w:eastAsia="宋体" w:cs="宋体"/>
          <w:color w:val="auto"/>
          <w:szCs w:val="21"/>
          <w:highlight w:val="none"/>
        </w:rPr>
      </w:pPr>
      <w:r>
        <w:rPr>
          <w:rFonts w:hint="eastAsia" w:ascii="宋体" w:hAnsi="宋体" w:eastAsia="宋体" w:cs="宋体"/>
          <w:color w:val="auto"/>
          <w:szCs w:val="21"/>
          <w:highlight w:val="none"/>
        </w:rPr>
        <w:t>28.2签订合同时间：按成交通知书规定的时间与采购人签订合同。</w:t>
      </w:r>
    </w:p>
    <w:p w14:paraId="6BEF9584">
      <w:pPr>
        <w:spacing w:line="360" w:lineRule="auto"/>
        <w:ind w:firstLine="424"/>
        <w:rPr>
          <w:rFonts w:hint="eastAsia" w:ascii="宋体" w:hAnsi="宋体" w:eastAsia="宋体" w:cs="宋体"/>
          <w:color w:val="auto"/>
          <w:szCs w:val="21"/>
          <w:highlight w:val="none"/>
        </w:rPr>
      </w:pPr>
      <w:r>
        <w:rPr>
          <w:rFonts w:hint="eastAsia" w:ascii="宋体" w:hAnsi="宋体" w:eastAsia="宋体" w:cs="宋体"/>
          <w:color w:val="auto"/>
          <w:szCs w:val="21"/>
          <w:highlight w:val="none"/>
        </w:rPr>
        <w:t>28.3成交供应商拒绝签订采购合同（包括但不限于放弃成交、因不可抗力不能履行合同而放弃签订合同），采购人可以按照评审报告推荐的成交候选人名单排序，确定下一候选人为成交供应商，也可以重新开展采购活动。如采购人无正当理由拒签合同的，给成交供应商造成损失的，成交供应商可追究采购人承担相应的法律责任。</w:t>
      </w:r>
    </w:p>
    <w:p w14:paraId="1A9A936E">
      <w:pPr>
        <w:spacing w:line="360" w:lineRule="auto"/>
        <w:ind w:firstLine="424"/>
        <w:rPr>
          <w:rFonts w:hint="eastAsia" w:ascii="宋体" w:hAnsi="宋体" w:eastAsia="宋体" w:cs="宋体"/>
          <w:color w:val="auto"/>
          <w:szCs w:val="21"/>
          <w:highlight w:val="none"/>
        </w:rPr>
      </w:pPr>
      <w:r>
        <w:rPr>
          <w:rFonts w:hint="eastAsia" w:ascii="宋体" w:hAnsi="宋体" w:eastAsia="宋体" w:cs="宋体"/>
          <w:color w:val="auto"/>
          <w:szCs w:val="21"/>
          <w:highlight w:val="none"/>
        </w:rPr>
        <w:t>28.4采购合同是采购项目验收的依据，成交供应商和采购人应当按照采购合同约定的各自的权利和义务全面履行合同。任何一方当事人在履行合同过程中均不得擅自变更、中止或终止合同。采购合同继续履行将损害国家利益和社会公共利益的，双方当事人应当变更、中止或终止合同。有过错的一方应当承担赔偿责任，双方都有过错的，各自承担相应的责任。</w:t>
      </w:r>
    </w:p>
    <w:p w14:paraId="5608CC47">
      <w:pPr>
        <w:spacing w:line="360" w:lineRule="auto"/>
        <w:ind w:firstLine="424"/>
        <w:rPr>
          <w:rFonts w:hint="eastAsia" w:ascii="宋体" w:hAnsi="宋体" w:eastAsia="宋体" w:cs="宋体"/>
          <w:color w:val="auto"/>
          <w:szCs w:val="21"/>
          <w:highlight w:val="none"/>
        </w:rPr>
      </w:pPr>
      <w:r>
        <w:rPr>
          <w:rFonts w:hint="eastAsia" w:ascii="宋体" w:hAnsi="宋体" w:eastAsia="宋体" w:cs="宋体"/>
          <w:color w:val="auto"/>
          <w:szCs w:val="21"/>
          <w:highlight w:val="none"/>
        </w:rPr>
        <w:t>28.5采购人或成交供应商不得单方面向合同另一方提出任何磋商文件没有约定的条件或不合理的要求，作为签订合同的条件；也不得协商另行订立背离磋商文件和合同实质性内容的协议。</w:t>
      </w:r>
    </w:p>
    <w:p w14:paraId="2891CAFF">
      <w:pPr>
        <w:spacing w:line="360" w:lineRule="auto"/>
        <w:ind w:firstLine="424"/>
        <w:rPr>
          <w:rFonts w:hint="eastAsia" w:ascii="宋体" w:hAnsi="宋体" w:eastAsia="宋体" w:cs="宋体"/>
          <w:color w:val="auto"/>
          <w:szCs w:val="21"/>
          <w:highlight w:val="none"/>
        </w:rPr>
      </w:pPr>
      <w:r>
        <w:rPr>
          <w:rFonts w:hint="eastAsia" w:ascii="宋体" w:hAnsi="宋体" w:eastAsia="宋体" w:cs="宋体"/>
          <w:color w:val="auto"/>
          <w:szCs w:val="21"/>
          <w:highlight w:val="none"/>
        </w:rPr>
        <w:t>28.6如签订合同并生效后，供应商无故拒绝或延期，除按照合同条款处理外，将承担相应的法律责任。</w:t>
      </w:r>
    </w:p>
    <w:p w14:paraId="30471EDC">
      <w:pPr>
        <w:spacing w:line="360" w:lineRule="auto"/>
        <w:ind w:firstLine="424"/>
        <w:rPr>
          <w:rFonts w:hint="eastAsia" w:ascii="宋体" w:hAnsi="宋体" w:eastAsia="宋体" w:cs="宋体"/>
          <w:color w:val="auto"/>
          <w:szCs w:val="21"/>
          <w:highlight w:val="none"/>
        </w:rPr>
      </w:pPr>
      <w:r>
        <w:rPr>
          <w:rFonts w:hint="eastAsia" w:ascii="宋体" w:hAnsi="宋体" w:eastAsia="宋体" w:cs="宋体"/>
          <w:color w:val="auto"/>
          <w:szCs w:val="21"/>
          <w:highlight w:val="none"/>
        </w:rPr>
        <w:t>28.7采购合同履行中，采购人需追加与合同标的相同的货物、工程或者服务的，在不改变合同其他条款的前提下，可以与供应商协商签订补充合同，但所有补充合同的采购金额不得超过原合同采购金额的10%。</w:t>
      </w:r>
    </w:p>
    <w:p w14:paraId="5CE14193">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29. 询问、质疑和投诉</w:t>
      </w:r>
    </w:p>
    <w:p w14:paraId="2A3375C8">
      <w:pPr>
        <w:pStyle w:val="203"/>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29.1供应商对采购活动事项有疑问的，可以向采购人、采购代理机构提出询问，采购人或者采购代理机构应当在3个工作日内对供应商依法提出的询问作出答复，</w:t>
      </w:r>
      <w:r>
        <w:rPr>
          <w:rFonts w:hint="eastAsia" w:ascii="宋体" w:hAnsi="宋体" w:eastAsia="宋体" w:cs="宋体"/>
          <w:color w:val="auto"/>
          <w:szCs w:val="21"/>
          <w:highlight w:val="none"/>
        </w:rPr>
        <w:t>但答复的内容不得涉及商业秘密</w:t>
      </w:r>
      <w:r>
        <w:rPr>
          <w:rFonts w:hint="eastAsia" w:ascii="宋体" w:hAnsi="宋体" w:eastAsia="宋体" w:cs="宋体"/>
          <w:color w:val="auto"/>
          <w:highlight w:val="none"/>
        </w:rPr>
        <w:t>。</w:t>
      </w:r>
    </w:p>
    <w:p w14:paraId="427C5F48">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29.2供应商认为磋商文件、采购过程或者成交结果使自己的合法权益受到损害的，应当在知道或者应知其权益受到损害之日起7个工作日内，以书面形式向采购人、采购代理机构提出质疑，</w:t>
      </w:r>
      <w:r>
        <w:rPr>
          <w:rFonts w:hint="eastAsia" w:ascii="宋体" w:hAnsi="宋体" w:eastAsia="宋体" w:cs="宋体"/>
          <w:color w:val="auto"/>
          <w:highlight w:val="none"/>
          <w:shd w:val="clear" w:color="auto" w:fill="FFFFFF"/>
        </w:rPr>
        <w:t>接收质疑函的方式、联系部门、联系电话和通讯地址等信息详见</w:t>
      </w:r>
      <w:r>
        <w:rPr>
          <w:rFonts w:hint="eastAsia" w:ascii="宋体" w:hAnsi="宋体" w:eastAsia="宋体" w:cs="宋体"/>
          <w:color w:val="auto"/>
          <w:szCs w:val="21"/>
          <w:highlight w:val="none"/>
        </w:rPr>
        <w:t>“供应商须知前附表”</w:t>
      </w:r>
      <w:r>
        <w:rPr>
          <w:rFonts w:hint="eastAsia" w:ascii="宋体" w:hAnsi="宋体" w:eastAsia="宋体" w:cs="宋体"/>
          <w:color w:val="auto"/>
          <w:highlight w:val="none"/>
        </w:rPr>
        <w:t>。具体质疑起算时间如下：</w:t>
      </w:r>
    </w:p>
    <w:p w14:paraId="2FFF444F">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（1）对可以质疑的磋商文件提出质疑的，为收到磋商文件之日或者竞争性磋商公告期限届满之日；</w:t>
      </w:r>
    </w:p>
    <w:p w14:paraId="379C5E0C">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（2）对采购过程提出质疑的，为各采购程序环节结束之日；</w:t>
      </w:r>
    </w:p>
    <w:p w14:paraId="3EE08A8D">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（3）对成交结果提出质疑的，为成交结果公告期限届满之日。</w:t>
      </w:r>
    </w:p>
    <w:p w14:paraId="532A1F6A">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29.3供应商提出的询问或者质疑超出采购人对采购代理机构委托授权范围的，采购代理机构应当告知供应商向采购人提出。评审专家应当配合采购人或者采购代理机构答复供应商的询问和质疑。</w:t>
      </w:r>
    </w:p>
    <w:p w14:paraId="53FEC314">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29.4 供应商提出质疑应当提交质疑函和必要的证明材料，针对同一采购程序环节的质疑必须在法定质疑期内一次性提出。质疑函应当包括下列内容</w:t>
      </w:r>
      <w:r>
        <w:rPr>
          <w:rFonts w:hint="eastAsia" w:ascii="宋体" w:hAnsi="宋体" w:eastAsia="宋体" w:cs="宋体"/>
          <w:bCs/>
          <w:color w:val="auto"/>
          <w:highlight w:val="none"/>
        </w:rPr>
        <w:t>（质疑函格式后附）</w:t>
      </w:r>
      <w:r>
        <w:rPr>
          <w:rFonts w:hint="eastAsia" w:ascii="宋体" w:hAnsi="宋体" w:eastAsia="宋体" w:cs="宋体"/>
          <w:color w:val="auto"/>
          <w:highlight w:val="none"/>
        </w:rPr>
        <w:t>：</w:t>
      </w:r>
    </w:p>
    <w:p w14:paraId="5A0190EB">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（1）供应商的姓名或者名称、地址、邮编、联系人及联系电话；</w:t>
      </w:r>
    </w:p>
    <w:p w14:paraId="285A56EC">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（2）质疑项目的名称、编号；</w:t>
      </w:r>
    </w:p>
    <w:p w14:paraId="1AD0AA2E">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（3）具体、明确的质疑事项和与质疑事项相关的请求；</w:t>
      </w:r>
    </w:p>
    <w:p w14:paraId="0543F1C6">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（4）事实依据；</w:t>
      </w:r>
    </w:p>
    <w:p w14:paraId="1BBF50A8">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（5）必要的法律依据；</w:t>
      </w:r>
    </w:p>
    <w:p w14:paraId="77FC9E41">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（6）提出质疑的日期。</w:t>
      </w:r>
    </w:p>
    <w:p w14:paraId="410EACF9">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供应商为自然人的，应当由本人签字；供应商为法人或者其他组织的，应当由法定代表人、主要负责人，或者其委托代理人签字或者盖章，并加盖公章。</w:t>
      </w:r>
    </w:p>
    <w:p w14:paraId="46ABB737">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29.5采购人、采购代理机构认为供应商质疑不成立，或者成立但未对成交结果构成影响的，继续开展采购活动；认为供应商质疑成立且影响或者可能影响成交结果的，按照下列情况处理：</w:t>
      </w:r>
    </w:p>
    <w:p w14:paraId="503DA2C1">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（一）对采购文件提出的质疑，依法通过澄清或者修改可以继续开展采购活动的，澄清或者修改采购文件后继续开展采购活动；否则应当修改采购文件后重新开展采购活动。</w:t>
      </w:r>
    </w:p>
    <w:p w14:paraId="364A7E42">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（二）对采购过程或者成交结果提出的质疑，合格供应商符合法定数量时，可以从合格的成交候选人中另行确定成交供应商的，应当依法另行确定成交供应商；否则应当重新开展采购活动。</w:t>
      </w:r>
    </w:p>
    <w:p w14:paraId="0C017C77">
      <w:pPr>
        <w:spacing w:line="360" w:lineRule="auto"/>
        <w:ind w:firstLine="420"/>
        <w:rPr>
          <w:rFonts w:hint="eastAsia" w:ascii="宋体" w:hAnsi="宋体" w:eastAsia="宋体" w:cs="宋体"/>
          <w:color w:val="auto"/>
          <w:szCs w:val="21"/>
          <w:highlight w:val="none"/>
        </w:rPr>
      </w:pPr>
      <w:r>
        <w:rPr>
          <w:rFonts w:hint="eastAsia" w:ascii="宋体" w:hAnsi="宋体" w:cs="宋体"/>
          <w:color w:val="auto"/>
          <w:highlight w:val="none"/>
          <w:lang w:val="en-US" w:eastAsia="zh-CN"/>
        </w:rPr>
        <w:t>29.6</w:t>
      </w:r>
      <w:r>
        <w:rPr>
          <w:rFonts w:hint="eastAsia" w:ascii="宋体" w:hAnsi="宋体" w:eastAsia="宋体" w:cs="宋体"/>
          <w:color w:val="auto"/>
          <w:highlight w:val="none"/>
        </w:rPr>
        <w:t>质疑供应商对采购人、采购代理机构的答复不满意，或者采购人、采购代理机构未在规定时间内作出答复的，可以在答复期满后15个工作日内向</w:t>
      </w:r>
      <w:r>
        <w:rPr>
          <w:rFonts w:hint="eastAsia" w:ascii="宋体" w:hAnsi="宋体" w:eastAsia="宋体" w:cs="宋体"/>
          <w:color w:val="auto"/>
          <w:highlight w:val="none"/>
          <w:lang w:eastAsia="zh-CN"/>
        </w:rPr>
        <w:t>采购人内部监督管理部门</w:t>
      </w:r>
      <w:r>
        <w:rPr>
          <w:rFonts w:hint="eastAsia" w:ascii="宋体" w:hAnsi="宋体" w:eastAsia="宋体" w:cs="宋体"/>
          <w:color w:val="auto"/>
          <w:highlight w:val="none"/>
        </w:rPr>
        <w:t>提起投诉（投诉书格式后附）。</w:t>
      </w:r>
    </w:p>
    <w:p w14:paraId="6C3031E6">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30.其他内容</w:t>
      </w:r>
    </w:p>
    <w:p w14:paraId="187E678B">
      <w:pPr>
        <w:tabs>
          <w:tab w:val="left" w:pos="2835"/>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30.1代理服务</w:t>
      </w:r>
      <w:r>
        <w:rPr>
          <w:rFonts w:hint="eastAsia" w:ascii="宋体" w:hAnsi="宋体" w:eastAsia="宋体" w:cs="宋体"/>
          <w:color w:val="auto"/>
          <w:szCs w:val="21"/>
          <w:highlight w:val="none"/>
          <w:lang w:val="en-US" w:eastAsia="zh-CN"/>
        </w:rPr>
        <w:t>费</w:t>
      </w:r>
      <w:r>
        <w:rPr>
          <w:rFonts w:hint="eastAsia" w:ascii="宋体" w:hAnsi="宋体" w:eastAsia="宋体" w:cs="宋体"/>
          <w:color w:val="auto"/>
          <w:szCs w:val="21"/>
          <w:highlight w:val="none"/>
        </w:rPr>
        <w:t>收取标准及缴费账户详见“供应商须知前附表”，供应商为联合体的，可以由联合体中的一方或者多方共同交纳代理服务费。</w:t>
      </w:r>
    </w:p>
    <w:p w14:paraId="2A0A7548">
      <w:pPr>
        <w:pStyle w:val="45"/>
        <w:spacing w:line="380" w:lineRule="exact"/>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30.2代理服务收费标准：</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0"/>
        <w:gridCol w:w="1890"/>
        <w:gridCol w:w="1881"/>
        <w:gridCol w:w="1887"/>
      </w:tblGrid>
      <w:tr w14:paraId="2CE4C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0" w:type="dxa"/>
            <w:tcBorders>
              <w:top w:val="single" w:color="auto" w:sz="4" w:space="0"/>
              <w:left w:val="single" w:color="auto" w:sz="4" w:space="0"/>
              <w:bottom w:val="single" w:color="auto" w:sz="4" w:space="0"/>
              <w:right w:val="single" w:color="auto" w:sz="4" w:space="0"/>
            </w:tcBorders>
            <w:noWrap w:val="0"/>
            <w:vAlign w:val="top"/>
          </w:tcPr>
          <w:p w14:paraId="3A1A0441">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费率</w:t>
            </w:r>
          </w:p>
          <w:p w14:paraId="08189E02">
            <w:pPr>
              <w:spacing w:line="38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成交</w:t>
            </w:r>
            <w:r>
              <w:rPr>
                <w:rFonts w:hint="eastAsia" w:ascii="宋体" w:hAnsi="宋体" w:eastAsia="宋体" w:cs="宋体"/>
                <w:color w:val="auto"/>
                <w:szCs w:val="21"/>
                <w:highlight w:val="none"/>
              </w:rPr>
              <w:t>金额</w:t>
            </w:r>
          </w:p>
        </w:tc>
        <w:tc>
          <w:tcPr>
            <w:tcW w:w="1890" w:type="dxa"/>
            <w:tcBorders>
              <w:top w:val="single" w:color="auto" w:sz="4" w:space="0"/>
              <w:left w:val="single" w:color="auto" w:sz="4" w:space="0"/>
              <w:bottom w:val="single" w:color="auto" w:sz="4" w:space="0"/>
              <w:right w:val="single" w:color="auto" w:sz="4" w:space="0"/>
            </w:tcBorders>
            <w:noWrap w:val="0"/>
            <w:vAlign w:val="center"/>
          </w:tcPr>
          <w:p w14:paraId="564C82A3">
            <w:pPr>
              <w:spacing w:line="380" w:lineRule="exact"/>
              <w:ind w:firstLine="105"/>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货物招标</w:t>
            </w:r>
          </w:p>
        </w:tc>
        <w:tc>
          <w:tcPr>
            <w:tcW w:w="1881" w:type="dxa"/>
            <w:tcBorders>
              <w:top w:val="single" w:color="auto" w:sz="4" w:space="0"/>
              <w:left w:val="single" w:color="auto" w:sz="4" w:space="0"/>
              <w:bottom w:val="single" w:color="auto" w:sz="4" w:space="0"/>
              <w:right w:val="single" w:color="auto" w:sz="4" w:space="0"/>
            </w:tcBorders>
            <w:noWrap w:val="0"/>
            <w:vAlign w:val="center"/>
          </w:tcPr>
          <w:p w14:paraId="2A1AD6BA">
            <w:pPr>
              <w:spacing w:line="3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服务招标</w:t>
            </w:r>
          </w:p>
        </w:tc>
        <w:tc>
          <w:tcPr>
            <w:tcW w:w="1887" w:type="dxa"/>
            <w:tcBorders>
              <w:top w:val="single" w:color="auto" w:sz="4" w:space="0"/>
              <w:left w:val="single" w:color="auto" w:sz="4" w:space="0"/>
              <w:bottom w:val="single" w:color="auto" w:sz="4" w:space="0"/>
              <w:right w:val="single" w:color="auto" w:sz="4" w:space="0"/>
            </w:tcBorders>
            <w:noWrap w:val="0"/>
            <w:vAlign w:val="center"/>
          </w:tcPr>
          <w:p w14:paraId="4320381D">
            <w:pPr>
              <w:spacing w:line="3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工程招标</w:t>
            </w:r>
          </w:p>
        </w:tc>
      </w:tr>
      <w:tr w14:paraId="4E40A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0" w:type="dxa"/>
            <w:tcBorders>
              <w:top w:val="single" w:color="auto" w:sz="4" w:space="0"/>
              <w:left w:val="single" w:color="auto" w:sz="4" w:space="0"/>
              <w:bottom w:val="single" w:color="auto" w:sz="4" w:space="0"/>
              <w:right w:val="single" w:color="auto" w:sz="4" w:space="0"/>
            </w:tcBorders>
            <w:noWrap w:val="0"/>
            <w:vAlign w:val="top"/>
          </w:tcPr>
          <w:p w14:paraId="299473C6">
            <w:pP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100万元以下</w:t>
            </w:r>
          </w:p>
        </w:tc>
        <w:tc>
          <w:tcPr>
            <w:tcW w:w="1890" w:type="dxa"/>
            <w:tcBorders>
              <w:top w:val="single" w:color="auto" w:sz="4" w:space="0"/>
              <w:left w:val="single" w:color="auto" w:sz="4" w:space="0"/>
              <w:bottom w:val="single" w:color="auto" w:sz="4" w:space="0"/>
              <w:right w:val="single" w:color="auto" w:sz="4" w:space="0"/>
            </w:tcBorders>
            <w:noWrap w:val="0"/>
            <w:vAlign w:val="top"/>
          </w:tcPr>
          <w:p w14:paraId="1DD092E2">
            <w:pP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1.5%                </w:t>
            </w:r>
          </w:p>
        </w:tc>
        <w:tc>
          <w:tcPr>
            <w:tcW w:w="1881" w:type="dxa"/>
            <w:tcBorders>
              <w:top w:val="single" w:color="auto" w:sz="4" w:space="0"/>
              <w:left w:val="single" w:color="auto" w:sz="4" w:space="0"/>
              <w:bottom w:val="single" w:color="auto" w:sz="4" w:space="0"/>
              <w:right w:val="single" w:color="auto" w:sz="4" w:space="0"/>
            </w:tcBorders>
            <w:noWrap w:val="0"/>
            <w:vAlign w:val="top"/>
          </w:tcPr>
          <w:p w14:paraId="6DA544CB">
            <w:pPr>
              <w:spacing w:line="480" w:lineRule="auto"/>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w:t>
            </w:r>
          </w:p>
        </w:tc>
        <w:tc>
          <w:tcPr>
            <w:tcW w:w="1887" w:type="dxa"/>
            <w:tcBorders>
              <w:top w:val="single" w:color="auto" w:sz="4" w:space="0"/>
              <w:left w:val="single" w:color="auto" w:sz="4" w:space="0"/>
              <w:bottom w:val="single" w:color="auto" w:sz="4" w:space="0"/>
              <w:right w:val="single" w:color="auto" w:sz="4" w:space="0"/>
            </w:tcBorders>
            <w:noWrap w:val="0"/>
            <w:vAlign w:val="top"/>
          </w:tcPr>
          <w:p w14:paraId="18825343">
            <w:pPr>
              <w:spacing w:line="480" w:lineRule="auto"/>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 </w:t>
            </w:r>
          </w:p>
        </w:tc>
      </w:tr>
      <w:tr w14:paraId="344B5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0" w:type="dxa"/>
            <w:tcBorders>
              <w:top w:val="single" w:color="auto" w:sz="4" w:space="0"/>
              <w:left w:val="single" w:color="auto" w:sz="4" w:space="0"/>
              <w:bottom w:val="single" w:color="auto" w:sz="4" w:space="0"/>
              <w:right w:val="single" w:color="auto" w:sz="4" w:space="0"/>
            </w:tcBorders>
            <w:noWrap w:val="0"/>
            <w:vAlign w:val="top"/>
          </w:tcPr>
          <w:p w14:paraId="0A0636F6">
            <w:pP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100万元～500万元</w:t>
            </w:r>
          </w:p>
        </w:tc>
        <w:tc>
          <w:tcPr>
            <w:tcW w:w="1890" w:type="dxa"/>
            <w:tcBorders>
              <w:top w:val="single" w:color="auto" w:sz="4" w:space="0"/>
              <w:left w:val="single" w:color="auto" w:sz="4" w:space="0"/>
              <w:bottom w:val="single" w:color="auto" w:sz="4" w:space="0"/>
              <w:right w:val="single" w:color="auto" w:sz="4" w:space="0"/>
            </w:tcBorders>
            <w:noWrap w:val="0"/>
            <w:vAlign w:val="top"/>
          </w:tcPr>
          <w:p w14:paraId="5D431B85">
            <w:pPr>
              <w:spacing w:line="480" w:lineRule="auto"/>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w:t>
            </w:r>
          </w:p>
        </w:tc>
        <w:tc>
          <w:tcPr>
            <w:tcW w:w="1881" w:type="dxa"/>
            <w:tcBorders>
              <w:top w:val="single" w:color="auto" w:sz="4" w:space="0"/>
              <w:left w:val="single" w:color="auto" w:sz="4" w:space="0"/>
              <w:bottom w:val="single" w:color="auto" w:sz="4" w:space="0"/>
              <w:right w:val="single" w:color="auto" w:sz="4" w:space="0"/>
            </w:tcBorders>
            <w:noWrap w:val="0"/>
            <w:vAlign w:val="top"/>
          </w:tcPr>
          <w:p w14:paraId="743BD6AE">
            <w:pPr>
              <w:spacing w:line="480" w:lineRule="auto"/>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rPr>
              <w:t>0.8%</w:t>
            </w:r>
          </w:p>
        </w:tc>
        <w:tc>
          <w:tcPr>
            <w:tcW w:w="1887" w:type="dxa"/>
            <w:tcBorders>
              <w:top w:val="single" w:color="auto" w:sz="4" w:space="0"/>
              <w:left w:val="single" w:color="auto" w:sz="4" w:space="0"/>
              <w:bottom w:val="single" w:color="auto" w:sz="4" w:space="0"/>
              <w:right w:val="single" w:color="auto" w:sz="4" w:space="0"/>
            </w:tcBorders>
            <w:noWrap w:val="0"/>
            <w:vAlign w:val="top"/>
          </w:tcPr>
          <w:p w14:paraId="39B6ECBF">
            <w:pPr>
              <w:spacing w:line="480" w:lineRule="auto"/>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0.7% </w:t>
            </w:r>
          </w:p>
        </w:tc>
      </w:tr>
      <w:tr w14:paraId="4F68B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0" w:type="dxa"/>
            <w:tcBorders>
              <w:top w:val="single" w:color="auto" w:sz="4" w:space="0"/>
              <w:left w:val="single" w:color="auto" w:sz="4" w:space="0"/>
              <w:bottom w:val="single" w:color="auto" w:sz="4" w:space="0"/>
              <w:right w:val="single" w:color="auto" w:sz="4" w:space="0"/>
            </w:tcBorders>
            <w:noWrap w:val="0"/>
            <w:vAlign w:val="top"/>
          </w:tcPr>
          <w:p w14:paraId="054E5A4F">
            <w:pP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500万元～1000万元</w:t>
            </w:r>
          </w:p>
        </w:tc>
        <w:tc>
          <w:tcPr>
            <w:tcW w:w="1890" w:type="dxa"/>
            <w:tcBorders>
              <w:top w:val="single" w:color="auto" w:sz="4" w:space="0"/>
              <w:left w:val="single" w:color="auto" w:sz="4" w:space="0"/>
              <w:bottom w:val="single" w:color="auto" w:sz="4" w:space="0"/>
              <w:right w:val="single" w:color="auto" w:sz="4" w:space="0"/>
            </w:tcBorders>
            <w:noWrap w:val="0"/>
            <w:vAlign w:val="top"/>
          </w:tcPr>
          <w:p w14:paraId="690D5FA7">
            <w:pP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0.8%                </w:t>
            </w:r>
          </w:p>
        </w:tc>
        <w:tc>
          <w:tcPr>
            <w:tcW w:w="1881" w:type="dxa"/>
            <w:tcBorders>
              <w:top w:val="single" w:color="auto" w:sz="4" w:space="0"/>
              <w:left w:val="single" w:color="auto" w:sz="4" w:space="0"/>
              <w:bottom w:val="single" w:color="auto" w:sz="4" w:space="0"/>
              <w:right w:val="single" w:color="auto" w:sz="4" w:space="0"/>
            </w:tcBorders>
            <w:noWrap w:val="0"/>
            <w:vAlign w:val="top"/>
          </w:tcPr>
          <w:p w14:paraId="1556B98A">
            <w:pPr>
              <w:spacing w:line="480" w:lineRule="auto"/>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rPr>
              <w:t>0.45%</w:t>
            </w:r>
          </w:p>
        </w:tc>
        <w:tc>
          <w:tcPr>
            <w:tcW w:w="1887" w:type="dxa"/>
            <w:tcBorders>
              <w:top w:val="single" w:color="auto" w:sz="4" w:space="0"/>
              <w:left w:val="single" w:color="auto" w:sz="4" w:space="0"/>
              <w:bottom w:val="single" w:color="auto" w:sz="4" w:space="0"/>
              <w:right w:val="single" w:color="auto" w:sz="4" w:space="0"/>
            </w:tcBorders>
            <w:noWrap w:val="0"/>
            <w:vAlign w:val="top"/>
          </w:tcPr>
          <w:p w14:paraId="360EA0F5">
            <w:pPr>
              <w:spacing w:line="480" w:lineRule="auto"/>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rPr>
              <w:t>0.55%</w:t>
            </w:r>
          </w:p>
        </w:tc>
      </w:tr>
      <w:tr w14:paraId="1CFCE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0" w:type="dxa"/>
            <w:tcBorders>
              <w:top w:val="single" w:color="auto" w:sz="4" w:space="0"/>
              <w:left w:val="single" w:color="auto" w:sz="4" w:space="0"/>
              <w:bottom w:val="single" w:color="auto" w:sz="4" w:space="0"/>
              <w:right w:val="single" w:color="auto" w:sz="4" w:space="0"/>
            </w:tcBorders>
            <w:noWrap w:val="0"/>
            <w:vAlign w:val="top"/>
          </w:tcPr>
          <w:p w14:paraId="6E0D2426">
            <w:pP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1000万元～5000万元</w:t>
            </w:r>
          </w:p>
        </w:tc>
        <w:tc>
          <w:tcPr>
            <w:tcW w:w="1890" w:type="dxa"/>
            <w:tcBorders>
              <w:top w:val="single" w:color="auto" w:sz="4" w:space="0"/>
              <w:left w:val="single" w:color="auto" w:sz="4" w:space="0"/>
              <w:bottom w:val="single" w:color="auto" w:sz="4" w:space="0"/>
              <w:right w:val="single" w:color="auto" w:sz="4" w:space="0"/>
            </w:tcBorders>
            <w:noWrap w:val="0"/>
            <w:vAlign w:val="top"/>
          </w:tcPr>
          <w:p w14:paraId="7DDD8049">
            <w:pPr>
              <w:spacing w:line="480" w:lineRule="auto"/>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0.5%                </w:t>
            </w:r>
          </w:p>
        </w:tc>
        <w:tc>
          <w:tcPr>
            <w:tcW w:w="1881" w:type="dxa"/>
            <w:tcBorders>
              <w:top w:val="single" w:color="auto" w:sz="4" w:space="0"/>
              <w:left w:val="single" w:color="auto" w:sz="4" w:space="0"/>
              <w:bottom w:val="single" w:color="auto" w:sz="4" w:space="0"/>
              <w:right w:val="single" w:color="auto" w:sz="4" w:space="0"/>
            </w:tcBorders>
            <w:noWrap w:val="0"/>
            <w:vAlign w:val="top"/>
          </w:tcPr>
          <w:p w14:paraId="0494A670">
            <w:pPr>
              <w:spacing w:line="480" w:lineRule="auto"/>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rPr>
              <w:t>0.25%</w:t>
            </w:r>
          </w:p>
        </w:tc>
        <w:tc>
          <w:tcPr>
            <w:tcW w:w="1887" w:type="dxa"/>
            <w:tcBorders>
              <w:top w:val="single" w:color="auto" w:sz="4" w:space="0"/>
              <w:left w:val="single" w:color="auto" w:sz="4" w:space="0"/>
              <w:bottom w:val="single" w:color="auto" w:sz="4" w:space="0"/>
              <w:right w:val="single" w:color="auto" w:sz="4" w:space="0"/>
            </w:tcBorders>
            <w:noWrap w:val="0"/>
            <w:vAlign w:val="top"/>
          </w:tcPr>
          <w:p w14:paraId="44F99670">
            <w:pPr>
              <w:spacing w:line="480" w:lineRule="auto"/>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0.35% </w:t>
            </w:r>
          </w:p>
        </w:tc>
      </w:tr>
      <w:tr w14:paraId="2333A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0" w:type="dxa"/>
            <w:tcBorders>
              <w:top w:val="single" w:color="auto" w:sz="4" w:space="0"/>
              <w:left w:val="single" w:color="auto" w:sz="4" w:space="0"/>
              <w:bottom w:val="single" w:color="auto" w:sz="4" w:space="0"/>
              <w:right w:val="single" w:color="auto" w:sz="4" w:space="0"/>
            </w:tcBorders>
            <w:noWrap w:val="0"/>
            <w:vAlign w:val="top"/>
          </w:tcPr>
          <w:p w14:paraId="2BCACBA2">
            <w:pP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5000万元～1亿元</w:t>
            </w:r>
          </w:p>
        </w:tc>
        <w:tc>
          <w:tcPr>
            <w:tcW w:w="1890" w:type="dxa"/>
            <w:tcBorders>
              <w:top w:val="single" w:color="auto" w:sz="4" w:space="0"/>
              <w:left w:val="single" w:color="auto" w:sz="4" w:space="0"/>
              <w:bottom w:val="single" w:color="auto" w:sz="4" w:space="0"/>
              <w:right w:val="single" w:color="auto" w:sz="4" w:space="0"/>
            </w:tcBorders>
            <w:noWrap w:val="0"/>
            <w:vAlign w:val="top"/>
          </w:tcPr>
          <w:p w14:paraId="1C934F88">
            <w:pPr>
              <w:spacing w:line="480" w:lineRule="auto"/>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0.25%                 </w:t>
            </w:r>
          </w:p>
        </w:tc>
        <w:tc>
          <w:tcPr>
            <w:tcW w:w="1881" w:type="dxa"/>
            <w:tcBorders>
              <w:top w:val="single" w:color="auto" w:sz="4" w:space="0"/>
              <w:left w:val="single" w:color="auto" w:sz="4" w:space="0"/>
              <w:bottom w:val="single" w:color="auto" w:sz="4" w:space="0"/>
              <w:right w:val="single" w:color="auto" w:sz="4" w:space="0"/>
            </w:tcBorders>
            <w:noWrap w:val="0"/>
            <w:vAlign w:val="top"/>
          </w:tcPr>
          <w:p w14:paraId="442DB45E">
            <w:pPr>
              <w:spacing w:line="480" w:lineRule="auto"/>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rPr>
              <w:t>0.1%</w:t>
            </w:r>
          </w:p>
        </w:tc>
        <w:tc>
          <w:tcPr>
            <w:tcW w:w="1887" w:type="dxa"/>
            <w:tcBorders>
              <w:top w:val="single" w:color="auto" w:sz="4" w:space="0"/>
              <w:left w:val="single" w:color="auto" w:sz="4" w:space="0"/>
              <w:bottom w:val="single" w:color="auto" w:sz="4" w:space="0"/>
              <w:right w:val="single" w:color="auto" w:sz="4" w:space="0"/>
            </w:tcBorders>
            <w:noWrap w:val="0"/>
            <w:vAlign w:val="top"/>
          </w:tcPr>
          <w:p w14:paraId="03AA82A8">
            <w:pPr>
              <w:spacing w:line="480" w:lineRule="auto"/>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rPr>
              <w:t>0.2%</w:t>
            </w:r>
          </w:p>
        </w:tc>
      </w:tr>
      <w:tr w14:paraId="58EA6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0" w:type="dxa"/>
            <w:tcBorders>
              <w:top w:val="single" w:color="auto" w:sz="4" w:space="0"/>
              <w:left w:val="single" w:color="auto" w:sz="4" w:space="0"/>
              <w:bottom w:val="single" w:color="auto" w:sz="4" w:space="0"/>
              <w:right w:val="single" w:color="auto" w:sz="4" w:space="0"/>
            </w:tcBorders>
            <w:noWrap w:val="0"/>
            <w:vAlign w:val="top"/>
          </w:tcPr>
          <w:p w14:paraId="2086ADA1">
            <w:pP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1亿元～5亿元</w:t>
            </w:r>
          </w:p>
        </w:tc>
        <w:tc>
          <w:tcPr>
            <w:tcW w:w="1890" w:type="dxa"/>
            <w:tcBorders>
              <w:top w:val="single" w:color="auto" w:sz="4" w:space="0"/>
              <w:left w:val="single" w:color="auto" w:sz="4" w:space="0"/>
              <w:bottom w:val="single" w:color="auto" w:sz="4" w:space="0"/>
              <w:right w:val="single" w:color="auto" w:sz="4" w:space="0"/>
            </w:tcBorders>
            <w:noWrap w:val="0"/>
            <w:vAlign w:val="top"/>
          </w:tcPr>
          <w:p w14:paraId="0FB29024">
            <w:pPr>
              <w:spacing w:line="480" w:lineRule="auto"/>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rPr>
              <w:t>0.05%</w:t>
            </w:r>
          </w:p>
        </w:tc>
        <w:tc>
          <w:tcPr>
            <w:tcW w:w="1881" w:type="dxa"/>
            <w:tcBorders>
              <w:top w:val="single" w:color="auto" w:sz="4" w:space="0"/>
              <w:left w:val="single" w:color="auto" w:sz="4" w:space="0"/>
              <w:bottom w:val="single" w:color="auto" w:sz="4" w:space="0"/>
              <w:right w:val="single" w:color="auto" w:sz="4" w:space="0"/>
            </w:tcBorders>
            <w:noWrap w:val="0"/>
            <w:vAlign w:val="top"/>
          </w:tcPr>
          <w:p w14:paraId="48C35F8B">
            <w:pP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0.05%</w:t>
            </w:r>
          </w:p>
        </w:tc>
        <w:tc>
          <w:tcPr>
            <w:tcW w:w="1887" w:type="dxa"/>
            <w:tcBorders>
              <w:top w:val="single" w:color="auto" w:sz="4" w:space="0"/>
              <w:left w:val="single" w:color="auto" w:sz="4" w:space="0"/>
              <w:bottom w:val="single" w:color="auto" w:sz="4" w:space="0"/>
              <w:right w:val="single" w:color="auto" w:sz="4" w:space="0"/>
            </w:tcBorders>
            <w:noWrap w:val="0"/>
            <w:vAlign w:val="top"/>
          </w:tcPr>
          <w:p w14:paraId="66D6E1D1">
            <w:pP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0.05%</w:t>
            </w:r>
          </w:p>
        </w:tc>
      </w:tr>
      <w:tr w14:paraId="4F622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0" w:type="dxa"/>
            <w:tcBorders>
              <w:top w:val="single" w:color="auto" w:sz="4" w:space="0"/>
              <w:left w:val="single" w:color="auto" w:sz="4" w:space="0"/>
              <w:bottom w:val="single" w:color="auto" w:sz="4" w:space="0"/>
              <w:right w:val="single" w:color="auto" w:sz="4" w:space="0"/>
            </w:tcBorders>
            <w:noWrap w:val="0"/>
            <w:vAlign w:val="top"/>
          </w:tcPr>
          <w:p w14:paraId="46313DCC">
            <w:pP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5亿元～10亿元</w:t>
            </w:r>
          </w:p>
        </w:tc>
        <w:tc>
          <w:tcPr>
            <w:tcW w:w="1890" w:type="dxa"/>
            <w:tcBorders>
              <w:top w:val="single" w:color="auto" w:sz="4" w:space="0"/>
              <w:left w:val="single" w:color="auto" w:sz="4" w:space="0"/>
              <w:bottom w:val="single" w:color="auto" w:sz="4" w:space="0"/>
              <w:right w:val="single" w:color="auto" w:sz="4" w:space="0"/>
            </w:tcBorders>
            <w:noWrap w:val="0"/>
            <w:vAlign w:val="top"/>
          </w:tcPr>
          <w:p w14:paraId="7F7DD269">
            <w:pPr>
              <w:spacing w:line="480" w:lineRule="auto"/>
              <w:ind w:firstLine="105"/>
              <w:rPr>
                <w:rFonts w:hint="eastAsia" w:ascii="宋体" w:hAnsi="宋体" w:eastAsia="宋体" w:cs="宋体"/>
                <w:color w:val="auto"/>
                <w:szCs w:val="21"/>
                <w:highlight w:val="none"/>
              </w:rPr>
            </w:pPr>
            <w:r>
              <w:rPr>
                <w:rFonts w:hint="eastAsia" w:ascii="宋体" w:hAnsi="宋体" w:eastAsia="宋体" w:cs="宋体"/>
                <w:color w:val="auto"/>
                <w:szCs w:val="21"/>
                <w:highlight w:val="none"/>
              </w:rPr>
              <w:t>0.035%</w:t>
            </w:r>
          </w:p>
        </w:tc>
        <w:tc>
          <w:tcPr>
            <w:tcW w:w="1881" w:type="dxa"/>
            <w:tcBorders>
              <w:top w:val="single" w:color="auto" w:sz="4" w:space="0"/>
              <w:left w:val="single" w:color="auto" w:sz="4" w:space="0"/>
              <w:bottom w:val="single" w:color="auto" w:sz="4" w:space="0"/>
              <w:right w:val="single" w:color="auto" w:sz="4" w:space="0"/>
            </w:tcBorders>
            <w:noWrap w:val="0"/>
            <w:vAlign w:val="top"/>
          </w:tcPr>
          <w:p w14:paraId="70B75B43">
            <w:pP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0.035%</w:t>
            </w:r>
          </w:p>
        </w:tc>
        <w:tc>
          <w:tcPr>
            <w:tcW w:w="1887" w:type="dxa"/>
            <w:tcBorders>
              <w:top w:val="single" w:color="auto" w:sz="4" w:space="0"/>
              <w:left w:val="single" w:color="auto" w:sz="4" w:space="0"/>
              <w:bottom w:val="single" w:color="auto" w:sz="4" w:space="0"/>
              <w:right w:val="single" w:color="auto" w:sz="4" w:space="0"/>
            </w:tcBorders>
            <w:noWrap w:val="0"/>
            <w:vAlign w:val="top"/>
          </w:tcPr>
          <w:p w14:paraId="45B1AD7C">
            <w:pPr>
              <w:spacing w:line="480" w:lineRule="auto"/>
              <w:ind w:firstLine="105"/>
              <w:rPr>
                <w:rFonts w:hint="eastAsia" w:ascii="宋体" w:hAnsi="宋体" w:eastAsia="宋体" w:cs="宋体"/>
                <w:color w:val="auto"/>
                <w:szCs w:val="21"/>
                <w:highlight w:val="none"/>
              </w:rPr>
            </w:pPr>
            <w:r>
              <w:rPr>
                <w:rFonts w:hint="eastAsia" w:ascii="宋体" w:hAnsi="宋体" w:eastAsia="宋体" w:cs="宋体"/>
                <w:color w:val="auto"/>
                <w:szCs w:val="21"/>
                <w:highlight w:val="none"/>
              </w:rPr>
              <w:t>0.035%</w:t>
            </w:r>
          </w:p>
        </w:tc>
      </w:tr>
      <w:tr w14:paraId="70706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0" w:type="dxa"/>
            <w:tcBorders>
              <w:top w:val="single" w:color="auto" w:sz="4" w:space="0"/>
              <w:left w:val="single" w:color="auto" w:sz="4" w:space="0"/>
              <w:bottom w:val="single" w:color="auto" w:sz="4" w:space="0"/>
              <w:right w:val="single" w:color="auto" w:sz="4" w:space="0"/>
            </w:tcBorders>
            <w:noWrap w:val="0"/>
            <w:vAlign w:val="top"/>
          </w:tcPr>
          <w:p w14:paraId="36C1C1EA">
            <w:pP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10亿元～50亿元</w:t>
            </w:r>
          </w:p>
        </w:tc>
        <w:tc>
          <w:tcPr>
            <w:tcW w:w="1890" w:type="dxa"/>
            <w:tcBorders>
              <w:top w:val="single" w:color="auto" w:sz="4" w:space="0"/>
              <w:left w:val="single" w:color="auto" w:sz="4" w:space="0"/>
              <w:bottom w:val="single" w:color="auto" w:sz="4" w:space="0"/>
              <w:right w:val="single" w:color="auto" w:sz="4" w:space="0"/>
            </w:tcBorders>
            <w:noWrap w:val="0"/>
            <w:vAlign w:val="top"/>
          </w:tcPr>
          <w:p w14:paraId="063CF9BB">
            <w:pPr>
              <w:spacing w:line="480" w:lineRule="auto"/>
              <w:ind w:firstLine="105"/>
              <w:rPr>
                <w:rFonts w:hint="eastAsia" w:ascii="宋体" w:hAnsi="宋体" w:eastAsia="宋体" w:cs="宋体"/>
                <w:color w:val="auto"/>
                <w:szCs w:val="21"/>
                <w:highlight w:val="none"/>
              </w:rPr>
            </w:pPr>
            <w:r>
              <w:rPr>
                <w:rFonts w:hint="eastAsia" w:ascii="宋体" w:hAnsi="宋体" w:eastAsia="宋体" w:cs="宋体"/>
                <w:color w:val="auto"/>
                <w:szCs w:val="21"/>
                <w:highlight w:val="none"/>
              </w:rPr>
              <w:t>0.008%</w:t>
            </w:r>
          </w:p>
        </w:tc>
        <w:tc>
          <w:tcPr>
            <w:tcW w:w="1881" w:type="dxa"/>
            <w:tcBorders>
              <w:top w:val="single" w:color="auto" w:sz="4" w:space="0"/>
              <w:left w:val="single" w:color="auto" w:sz="4" w:space="0"/>
              <w:bottom w:val="single" w:color="auto" w:sz="4" w:space="0"/>
              <w:right w:val="single" w:color="auto" w:sz="4" w:space="0"/>
            </w:tcBorders>
            <w:noWrap w:val="0"/>
            <w:vAlign w:val="top"/>
          </w:tcPr>
          <w:p w14:paraId="26959DB8">
            <w:pPr>
              <w:spacing w:line="480" w:lineRule="auto"/>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rPr>
              <w:t>0.008%</w:t>
            </w:r>
          </w:p>
        </w:tc>
        <w:tc>
          <w:tcPr>
            <w:tcW w:w="1887" w:type="dxa"/>
            <w:tcBorders>
              <w:top w:val="single" w:color="auto" w:sz="4" w:space="0"/>
              <w:left w:val="single" w:color="auto" w:sz="4" w:space="0"/>
              <w:bottom w:val="single" w:color="auto" w:sz="4" w:space="0"/>
              <w:right w:val="single" w:color="auto" w:sz="4" w:space="0"/>
            </w:tcBorders>
            <w:noWrap w:val="0"/>
            <w:vAlign w:val="top"/>
          </w:tcPr>
          <w:p w14:paraId="7723BF07">
            <w:pPr>
              <w:spacing w:line="480" w:lineRule="auto"/>
              <w:ind w:firstLine="105"/>
              <w:rPr>
                <w:rFonts w:hint="eastAsia" w:ascii="宋体" w:hAnsi="宋体" w:eastAsia="宋体" w:cs="宋体"/>
                <w:color w:val="auto"/>
                <w:szCs w:val="21"/>
                <w:highlight w:val="none"/>
              </w:rPr>
            </w:pPr>
            <w:r>
              <w:rPr>
                <w:rFonts w:hint="eastAsia" w:ascii="宋体" w:hAnsi="宋体" w:eastAsia="宋体" w:cs="宋体"/>
                <w:color w:val="auto"/>
                <w:szCs w:val="21"/>
                <w:highlight w:val="none"/>
              </w:rPr>
              <w:t>0.008%</w:t>
            </w:r>
          </w:p>
        </w:tc>
      </w:tr>
      <w:tr w14:paraId="64F4D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0" w:type="dxa"/>
            <w:tcBorders>
              <w:top w:val="single" w:color="auto" w:sz="4" w:space="0"/>
              <w:left w:val="single" w:color="auto" w:sz="4" w:space="0"/>
              <w:bottom w:val="single" w:color="auto" w:sz="4" w:space="0"/>
              <w:right w:val="single" w:color="auto" w:sz="4" w:space="0"/>
            </w:tcBorders>
            <w:noWrap w:val="0"/>
            <w:vAlign w:val="top"/>
          </w:tcPr>
          <w:p w14:paraId="60D57BA3">
            <w:pP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50亿元～100亿元</w:t>
            </w:r>
          </w:p>
        </w:tc>
        <w:tc>
          <w:tcPr>
            <w:tcW w:w="1890" w:type="dxa"/>
            <w:tcBorders>
              <w:top w:val="single" w:color="auto" w:sz="4" w:space="0"/>
              <w:left w:val="single" w:color="auto" w:sz="4" w:space="0"/>
              <w:bottom w:val="single" w:color="auto" w:sz="4" w:space="0"/>
              <w:right w:val="single" w:color="auto" w:sz="4" w:space="0"/>
            </w:tcBorders>
            <w:noWrap w:val="0"/>
            <w:vAlign w:val="top"/>
          </w:tcPr>
          <w:p w14:paraId="3C025DFB">
            <w:pP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0.006%</w:t>
            </w:r>
          </w:p>
        </w:tc>
        <w:tc>
          <w:tcPr>
            <w:tcW w:w="1881" w:type="dxa"/>
            <w:tcBorders>
              <w:top w:val="single" w:color="auto" w:sz="4" w:space="0"/>
              <w:left w:val="single" w:color="auto" w:sz="4" w:space="0"/>
              <w:bottom w:val="single" w:color="auto" w:sz="4" w:space="0"/>
              <w:right w:val="single" w:color="auto" w:sz="4" w:space="0"/>
            </w:tcBorders>
            <w:noWrap w:val="0"/>
            <w:vAlign w:val="top"/>
          </w:tcPr>
          <w:p w14:paraId="34729F80">
            <w:pPr>
              <w:spacing w:line="480" w:lineRule="auto"/>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rPr>
              <w:t>0.006%</w:t>
            </w:r>
          </w:p>
        </w:tc>
        <w:tc>
          <w:tcPr>
            <w:tcW w:w="1887" w:type="dxa"/>
            <w:tcBorders>
              <w:top w:val="single" w:color="auto" w:sz="4" w:space="0"/>
              <w:left w:val="single" w:color="auto" w:sz="4" w:space="0"/>
              <w:bottom w:val="single" w:color="auto" w:sz="4" w:space="0"/>
              <w:right w:val="single" w:color="auto" w:sz="4" w:space="0"/>
            </w:tcBorders>
            <w:noWrap w:val="0"/>
            <w:vAlign w:val="top"/>
          </w:tcPr>
          <w:p w14:paraId="6FC870D2">
            <w:pPr>
              <w:spacing w:line="480" w:lineRule="auto"/>
              <w:ind w:firstLine="105"/>
              <w:rPr>
                <w:rFonts w:hint="eastAsia" w:ascii="宋体" w:hAnsi="宋体" w:eastAsia="宋体" w:cs="宋体"/>
                <w:color w:val="auto"/>
                <w:szCs w:val="21"/>
                <w:highlight w:val="none"/>
              </w:rPr>
            </w:pPr>
            <w:r>
              <w:rPr>
                <w:rFonts w:hint="eastAsia" w:ascii="宋体" w:hAnsi="宋体" w:eastAsia="宋体" w:cs="宋体"/>
                <w:color w:val="auto"/>
                <w:szCs w:val="21"/>
                <w:highlight w:val="none"/>
              </w:rPr>
              <w:t>0.006%</w:t>
            </w:r>
          </w:p>
        </w:tc>
      </w:tr>
      <w:tr w14:paraId="4621A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0" w:type="dxa"/>
            <w:tcBorders>
              <w:top w:val="single" w:color="auto" w:sz="4" w:space="0"/>
              <w:left w:val="single" w:color="auto" w:sz="4" w:space="0"/>
              <w:bottom w:val="single" w:color="auto" w:sz="4" w:space="0"/>
              <w:right w:val="single" w:color="auto" w:sz="4" w:space="0"/>
            </w:tcBorders>
            <w:noWrap w:val="0"/>
            <w:vAlign w:val="top"/>
          </w:tcPr>
          <w:p w14:paraId="71015320">
            <w:pP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100亿以上</w:t>
            </w:r>
          </w:p>
        </w:tc>
        <w:tc>
          <w:tcPr>
            <w:tcW w:w="1890" w:type="dxa"/>
            <w:tcBorders>
              <w:top w:val="single" w:color="auto" w:sz="4" w:space="0"/>
              <w:left w:val="single" w:color="auto" w:sz="4" w:space="0"/>
              <w:bottom w:val="single" w:color="auto" w:sz="4" w:space="0"/>
              <w:right w:val="single" w:color="auto" w:sz="4" w:space="0"/>
            </w:tcBorders>
            <w:noWrap w:val="0"/>
            <w:vAlign w:val="top"/>
          </w:tcPr>
          <w:p w14:paraId="69131AC3">
            <w:pP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0.004%</w:t>
            </w:r>
          </w:p>
        </w:tc>
        <w:tc>
          <w:tcPr>
            <w:tcW w:w="1881" w:type="dxa"/>
            <w:tcBorders>
              <w:top w:val="single" w:color="auto" w:sz="4" w:space="0"/>
              <w:left w:val="single" w:color="auto" w:sz="4" w:space="0"/>
              <w:bottom w:val="single" w:color="auto" w:sz="4" w:space="0"/>
              <w:right w:val="single" w:color="auto" w:sz="4" w:space="0"/>
            </w:tcBorders>
            <w:noWrap w:val="0"/>
            <w:vAlign w:val="top"/>
          </w:tcPr>
          <w:p w14:paraId="4BC29D31">
            <w:pPr>
              <w:spacing w:line="480" w:lineRule="auto"/>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rPr>
              <w:t>0.004%</w:t>
            </w:r>
          </w:p>
        </w:tc>
        <w:tc>
          <w:tcPr>
            <w:tcW w:w="1887" w:type="dxa"/>
            <w:tcBorders>
              <w:top w:val="single" w:color="auto" w:sz="4" w:space="0"/>
              <w:left w:val="single" w:color="auto" w:sz="4" w:space="0"/>
              <w:bottom w:val="single" w:color="auto" w:sz="4" w:space="0"/>
              <w:right w:val="single" w:color="auto" w:sz="4" w:space="0"/>
            </w:tcBorders>
            <w:noWrap w:val="0"/>
            <w:vAlign w:val="top"/>
          </w:tcPr>
          <w:p w14:paraId="2A108592">
            <w:pPr>
              <w:spacing w:line="480" w:lineRule="auto"/>
              <w:ind w:firstLine="105"/>
              <w:rPr>
                <w:rFonts w:hint="eastAsia" w:ascii="宋体" w:hAnsi="宋体" w:eastAsia="宋体" w:cs="宋体"/>
                <w:color w:val="auto"/>
                <w:szCs w:val="21"/>
                <w:highlight w:val="none"/>
              </w:rPr>
            </w:pPr>
            <w:r>
              <w:rPr>
                <w:rFonts w:hint="eastAsia" w:ascii="宋体" w:hAnsi="宋体" w:eastAsia="宋体" w:cs="宋体"/>
                <w:color w:val="auto"/>
                <w:szCs w:val="21"/>
                <w:highlight w:val="none"/>
              </w:rPr>
              <w:t>0.004%</w:t>
            </w:r>
          </w:p>
        </w:tc>
      </w:tr>
    </w:tbl>
    <w:p w14:paraId="5A7973A9">
      <w:pPr>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注：按本表费率计算的收费为采购代理的收费基准价格，采购代理收费按差额定率累进法计算。</w:t>
      </w:r>
    </w:p>
    <w:p w14:paraId="70333FD4">
      <w:pPr>
        <w:pStyle w:val="217"/>
        <w:rPr>
          <w:rFonts w:hint="eastAsia" w:ascii="宋体" w:hAnsi="宋体" w:eastAsia="宋体" w:cs="宋体"/>
          <w:color w:val="auto"/>
          <w:highlight w:val="none"/>
        </w:rPr>
      </w:pPr>
    </w:p>
    <w:p w14:paraId="6D7A5667">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31.需要补充的其他内容</w:t>
      </w:r>
    </w:p>
    <w:p w14:paraId="7D22F7FF">
      <w:pPr>
        <w:pStyle w:val="45"/>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31.1本磋商文件解释规则详见“供应商须知前附表”。</w:t>
      </w:r>
    </w:p>
    <w:p w14:paraId="498CF7E3">
      <w:pPr>
        <w:pStyle w:val="45"/>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31.2 其他事项详见“供应商须知前附表”。</w:t>
      </w:r>
    </w:p>
    <w:p w14:paraId="6F1E7650">
      <w:pPr>
        <w:pStyle w:val="199"/>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66" w:name="_Toc10084"/>
      <w:r>
        <w:rPr>
          <w:rFonts w:hint="eastAsia" w:ascii="宋体" w:hAnsi="宋体" w:eastAsia="宋体" w:cs="宋体"/>
          <w:color w:val="auto"/>
          <w:highlight w:val="none"/>
        </w:rPr>
        <w:t>第三章 采购需求</w:t>
      </w:r>
      <w:bookmarkEnd w:id="66"/>
    </w:p>
    <w:p w14:paraId="39521C0C">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w:t>
      </w:r>
    </w:p>
    <w:p w14:paraId="2F9268EF">
      <w:pPr>
        <w:numPr>
          <w:ilvl w:val="0"/>
          <w:numId w:val="0"/>
        </w:numPr>
        <w:spacing w:line="360" w:lineRule="auto"/>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 为落实采购政策需满足的要求</w:t>
      </w:r>
    </w:p>
    <w:p w14:paraId="2D98D137">
      <w:pPr>
        <w:numPr>
          <w:ilvl w:val="0"/>
          <w:numId w:val="0"/>
        </w:numPr>
        <w:spacing w:line="360" w:lineRule="auto"/>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本竞争性磋商采购文件所称中小企业必须符合《政府采购促进中小企业发展管理办法》（财库〔2020〕46号）的规定。</w:t>
      </w:r>
    </w:p>
    <w:p w14:paraId="3AFA08F5">
      <w:pPr>
        <w:spacing w:line="360" w:lineRule="auto"/>
        <w:ind w:firstLine="424"/>
        <w:jc w:val="left"/>
        <w:rPr>
          <w:rFonts w:hint="eastAsia" w:ascii="宋体" w:hAnsi="宋体" w:eastAsia="宋体" w:cs="宋体"/>
          <w:b/>
          <w:bCs/>
          <w:color w:val="auto"/>
          <w:szCs w:val="21"/>
          <w:highlight w:val="none"/>
          <w:lang w:eastAsia="zh-CN"/>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.“实质性要求”是指</w:t>
      </w:r>
      <w:r>
        <w:rPr>
          <w:rFonts w:hint="eastAsia" w:ascii="宋体" w:hAnsi="宋体" w:eastAsia="宋体" w:cs="宋体"/>
          <w:color w:val="auto"/>
          <w:szCs w:val="21"/>
          <w:highlight w:val="none"/>
          <w:lang w:val="en-US" w:eastAsia="zh-CN"/>
        </w:rPr>
        <w:t>磋商</w:t>
      </w:r>
      <w:r>
        <w:rPr>
          <w:rFonts w:hint="eastAsia" w:ascii="宋体" w:hAnsi="宋体" w:eastAsia="宋体" w:cs="宋体"/>
          <w:color w:val="auto"/>
          <w:szCs w:val="21"/>
          <w:highlight w:val="none"/>
        </w:rPr>
        <w:t>文件中已经指明不满足则</w:t>
      </w:r>
      <w:r>
        <w:rPr>
          <w:color w:val="auto"/>
          <w:highlight w:val="none"/>
        </w:rPr>
        <w:t>响应无效</w:t>
      </w:r>
      <w:r>
        <w:rPr>
          <w:rFonts w:hint="eastAsia" w:ascii="宋体" w:hAnsi="宋体" w:eastAsia="宋体" w:cs="宋体"/>
          <w:color w:val="auto"/>
          <w:szCs w:val="21"/>
          <w:highlight w:val="none"/>
        </w:rPr>
        <w:t>的条款，或者不能负偏离的条款，或者采购需求中带“▲”的条款</w:t>
      </w:r>
      <w:r>
        <w:rPr>
          <w:rFonts w:hint="eastAsia" w:ascii="宋体" w:hAnsi="宋体" w:eastAsia="宋体" w:cs="宋体"/>
          <w:color w:val="auto"/>
          <w:szCs w:val="21"/>
          <w:highlight w:val="none"/>
          <w:lang w:eastAsia="zh-CN"/>
        </w:rPr>
        <w:t>。</w:t>
      </w:r>
    </w:p>
    <w:p w14:paraId="55053CB1">
      <w:pPr>
        <w:numPr>
          <w:ilvl w:val="0"/>
          <w:numId w:val="0"/>
        </w:num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供应商应根据自身实际情况如实响应磋商文件，否则将按无效响应处理（定制采购不适用本条款）。对于重要技术条款或技术参数应当在响应文件中提供技术支持资料，技术支持资料以磋商文件中规定的形式为准，否则将视为无效技术支持资料。</w:t>
      </w:r>
    </w:p>
    <w:p w14:paraId="497069E9">
      <w:pPr>
        <w:numPr>
          <w:ilvl w:val="0"/>
          <w:numId w:val="0"/>
        </w:num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.供应商必须自行为其竞标产品侵犯他人的知识产权或者专利成果的行为承担相应法律责任。</w:t>
      </w:r>
    </w:p>
    <w:p w14:paraId="665B31C1">
      <w:pPr>
        <w:numPr>
          <w:ilvl w:val="0"/>
          <w:numId w:val="0"/>
        </w:numPr>
        <w:spacing w:line="360" w:lineRule="auto"/>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5.采购标的所属行业：</w:t>
      </w:r>
      <w:r>
        <w:rPr>
          <w:rFonts w:hint="eastAsia" w:ascii="宋体" w:hAnsi="宋体" w:eastAsia="宋体" w:cs="宋体"/>
          <w:color w:val="auto"/>
          <w:szCs w:val="21"/>
          <w:highlight w:val="none"/>
        </w:rPr>
        <w:t>其他未列明行业。</w:t>
      </w:r>
    </w:p>
    <w:p w14:paraId="777FF049">
      <w:pPr>
        <w:ind w:firstLine="420"/>
        <w:rPr>
          <w:rFonts w:hint="eastAsia" w:ascii="宋体" w:hAnsi="宋体" w:eastAsia="宋体" w:cs="宋体"/>
          <w:b/>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采购预算：</w:t>
      </w:r>
      <w:r>
        <w:rPr>
          <w:rFonts w:hint="eastAsia" w:ascii="宋体" w:hAnsi="宋体" w:cs="宋体"/>
          <w:color w:val="auto"/>
          <w:szCs w:val="21"/>
          <w:highlight w:val="none"/>
          <w:lang w:val="en-US" w:eastAsia="zh-CN"/>
        </w:rPr>
        <w:t>柒拾叁万元整</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730000</w:t>
      </w:r>
      <w:r>
        <w:rPr>
          <w:rFonts w:hint="eastAsia" w:ascii="宋体" w:hAnsi="宋体" w:eastAsia="宋体" w:cs="宋体"/>
          <w:color w:val="auto"/>
          <w:szCs w:val="21"/>
          <w:highlight w:val="none"/>
        </w:rPr>
        <w:t>.00）</w:t>
      </w:r>
    </w:p>
    <w:tbl>
      <w:tblPr>
        <w:tblStyle w:val="35"/>
        <w:tblW w:w="888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79"/>
        <w:gridCol w:w="976"/>
        <w:gridCol w:w="1241"/>
        <w:gridCol w:w="5588"/>
      </w:tblGrid>
      <w:tr w14:paraId="309AC0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02" w:hRule="atLeast"/>
          <w:jc w:val="center"/>
        </w:trPr>
        <w:tc>
          <w:tcPr>
            <w:tcW w:w="1079" w:type="dxa"/>
            <w:tcBorders>
              <w:top w:val="single" w:color="auto" w:sz="4" w:space="0"/>
              <w:left w:val="single" w:color="auto" w:sz="4" w:space="0"/>
              <w:bottom w:val="single" w:color="auto" w:sz="4" w:space="0"/>
              <w:right w:val="single" w:color="auto" w:sz="4" w:space="0"/>
            </w:tcBorders>
            <w:noWrap w:val="0"/>
            <w:vAlign w:val="center"/>
          </w:tcPr>
          <w:p w14:paraId="169CE9FD">
            <w:pPr>
              <w:keepNext w:val="0"/>
              <w:keepLines w:val="0"/>
              <w:pageBreakBefore w:val="0"/>
              <w:bidi w:val="0"/>
              <w:spacing w:line="3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976" w:type="dxa"/>
            <w:tcBorders>
              <w:top w:val="single" w:color="auto" w:sz="4" w:space="0"/>
              <w:left w:val="single" w:color="auto" w:sz="4" w:space="0"/>
              <w:bottom w:val="single" w:color="auto" w:sz="4" w:space="0"/>
              <w:right w:val="single" w:color="auto" w:sz="4" w:space="0"/>
            </w:tcBorders>
            <w:noWrap w:val="0"/>
            <w:vAlign w:val="center"/>
          </w:tcPr>
          <w:p w14:paraId="2E70C38E">
            <w:pPr>
              <w:keepNext w:val="0"/>
              <w:keepLines w:val="0"/>
              <w:pageBreakBefore w:val="0"/>
              <w:bidi w:val="0"/>
              <w:spacing w:line="3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标的的名称</w:t>
            </w:r>
          </w:p>
        </w:tc>
        <w:tc>
          <w:tcPr>
            <w:tcW w:w="1241" w:type="dxa"/>
            <w:tcBorders>
              <w:top w:val="single" w:color="auto" w:sz="4" w:space="0"/>
              <w:left w:val="single" w:color="auto" w:sz="4" w:space="0"/>
              <w:bottom w:val="single" w:color="auto" w:sz="4" w:space="0"/>
              <w:right w:val="single" w:color="auto" w:sz="4" w:space="0"/>
            </w:tcBorders>
            <w:noWrap w:val="0"/>
            <w:vAlign w:val="center"/>
          </w:tcPr>
          <w:p w14:paraId="32179243">
            <w:pPr>
              <w:keepNext w:val="0"/>
              <w:keepLines w:val="0"/>
              <w:pageBreakBefore w:val="0"/>
              <w:bidi w:val="0"/>
              <w:spacing w:line="3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数量及单位</w:t>
            </w:r>
          </w:p>
        </w:tc>
        <w:tc>
          <w:tcPr>
            <w:tcW w:w="5588" w:type="dxa"/>
            <w:tcBorders>
              <w:top w:val="single" w:color="auto" w:sz="4" w:space="0"/>
              <w:left w:val="single" w:color="auto" w:sz="4" w:space="0"/>
              <w:bottom w:val="single" w:color="auto" w:sz="4" w:space="0"/>
              <w:right w:val="single" w:color="auto" w:sz="4" w:space="0"/>
            </w:tcBorders>
            <w:noWrap w:val="0"/>
            <w:vAlign w:val="center"/>
          </w:tcPr>
          <w:p w14:paraId="39674646">
            <w:pPr>
              <w:keepNext w:val="0"/>
              <w:keepLines w:val="0"/>
              <w:pageBreakBefore w:val="0"/>
              <w:bidi w:val="0"/>
              <w:spacing w:line="3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服务</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要求</w:t>
            </w:r>
          </w:p>
        </w:tc>
      </w:tr>
      <w:tr w14:paraId="22D603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43" w:hRule="atLeast"/>
          <w:jc w:val="center"/>
        </w:trPr>
        <w:tc>
          <w:tcPr>
            <w:tcW w:w="1079" w:type="dxa"/>
            <w:tcBorders>
              <w:top w:val="single" w:color="auto" w:sz="4" w:space="0"/>
              <w:left w:val="single" w:color="auto" w:sz="4" w:space="0"/>
              <w:bottom w:val="single" w:color="auto" w:sz="4" w:space="0"/>
              <w:right w:val="single" w:color="auto" w:sz="4" w:space="0"/>
            </w:tcBorders>
            <w:noWrap w:val="0"/>
            <w:vAlign w:val="center"/>
          </w:tcPr>
          <w:p w14:paraId="505D13DF">
            <w:pPr>
              <w:keepNext w:val="0"/>
              <w:keepLines w:val="0"/>
              <w:pageBreakBefore w:val="0"/>
              <w:bidi w:val="0"/>
              <w:spacing w:line="30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976" w:type="dxa"/>
            <w:tcBorders>
              <w:top w:val="single" w:color="auto" w:sz="4" w:space="0"/>
              <w:left w:val="single" w:color="auto" w:sz="4" w:space="0"/>
              <w:bottom w:val="single" w:color="auto" w:sz="4" w:space="0"/>
              <w:right w:val="single" w:color="auto" w:sz="4" w:space="0"/>
            </w:tcBorders>
            <w:noWrap w:val="0"/>
            <w:vAlign w:val="center"/>
          </w:tcPr>
          <w:p w14:paraId="5F2695A1">
            <w:pPr>
              <w:keepNext w:val="0"/>
              <w:keepLines w:val="0"/>
              <w:pageBreakBefore w:val="0"/>
              <w:widowControl/>
              <w:suppressLineNumbers w:val="0"/>
              <w:bidi w:val="0"/>
              <w:spacing w:line="300" w:lineRule="auto"/>
              <w:jc w:val="center"/>
              <w:rPr>
                <w:rFonts w:hint="eastAsia" w:ascii="宋体" w:hAnsi="宋体" w:eastAsia="宋体" w:cs="宋体"/>
                <w:color w:val="auto"/>
                <w:sz w:val="24"/>
                <w:szCs w:val="24"/>
                <w:highlight w:val="none"/>
                <w:lang w:val="en-US"/>
              </w:rPr>
            </w:pPr>
            <w:r>
              <w:rPr>
                <w:rFonts w:hint="eastAsia" w:ascii="宋体" w:hAnsi="宋体" w:eastAsia="宋体" w:cs="宋体"/>
                <w:i w:val="0"/>
                <w:iCs w:val="0"/>
                <w:color w:val="auto"/>
                <w:sz w:val="24"/>
                <w:szCs w:val="24"/>
                <w:highlight w:val="none"/>
                <w:u w:val="none"/>
                <w:lang w:val="en-US" w:eastAsia="zh-CN" w:bidi="ar"/>
              </w:rPr>
              <w:t>线路服务点位</w:t>
            </w:r>
          </w:p>
        </w:tc>
        <w:tc>
          <w:tcPr>
            <w:tcW w:w="1241" w:type="dxa"/>
            <w:tcBorders>
              <w:top w:val="single" w:color="auto" w:sz="4" w:space="0"/>
              <w:left w:val="single" w:color="auto" w:sz="4" w:space="0"/>
              <w:bottom w:val="single" w:color="auto" w:sz="4" w:space="0"/>
              <w:right w:val="single" w:color="auto" w:sz="4" w:space="0"/>
            </w:tcBorders>
            <w:noWrap w:val="0"/>
            <w:vAlign w:val="center"/>
          </w:tcPr>
          <w:p w14:paraId="0A8CE706">
            <w:pPr>
              <w:keepNext w:val="0"/>
              <w:keepLines w:val="0"/>
              <w:pageBreakBefore w:val="0"/>
              <w:widowControl/>
              <w:suppressLineNumbers w:val="0"/>
              <w:bidi w:val="0"/>
              <w:spacing w:line="30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bidi="ar"/>
              </w:rPr>
              <w:t>268个</w:t>
            </w:r>
          </w:p>
        </w:tc>
        <w:tc>
          <w:tcPr>
            <w:tcW w:w="5588" w:type="dxa"/>
            <w:tcBorders>
              <w:top w:val="single" w:color="auto" w:sz="4" w:space="0"/>
              <w:left w:val="single" w:color="auto" w:sz="4" w:space="0"/>
              <w:bottom w:val="single" w:color="auto" w:sz="4" w:space="0"/>
              <w:right w:val="single" w:color="auto" w:sz="4" w:space="0"/>
            </w:tcBorders>
            <w:noWrap w:val="0"/>
            <w:vAlign w:val="bottom"/>
          </w:tcPr>
          <w:p w14:paraId="4721AE4E">
            <w:pPr>
              <w:keepNext w:val="0"/>
              <w:keepLines w:val="0"/>
              <w:pageBreakBefore w:val="0"/>
              <w:widowControl/>
              <w:suppressLineNumbers w:val="0"/>
              <w:bidi w:val="0"/>
              <w:spacing w:line="300" w:lineRule="auto"/>
              <w:jc w:val="left"/>
              <w:rPr>
                <w:rFonts w:hint="eastAsia" w:ascii="宋体" w:hAnsi="宋体" w:eastAsia="宋体" w:cs="宋体"/>
                <w:color w:val="auto"/>
                <w:sz w:val="24"/>
                <w:szCs w:val="24"/>
                <w:highlight w:val="none"/>
              </w:rPr>
            </w:pPr>
            <w:r>
              <w:rPr>
                <w:rFonts w:hint="eastAsia" w:ascii="宋体" w:hAnsi="宋体" w:eastAsia="宋体" w:cs="宋体"/>
                <w:i w:val="0"/>
                <w:iCs w:val="0"/>
                <w:color w:val="auto"/>
                <w:sz w:val="21"/>
                <w:szCs w:val="21"/>
                <w:highlight w:val="none"/>
                <w:u w:val="none"/>
                <w:lang w:val="en-US" w:eastAsia="zh-CN" w:bidi="ar"/>
              </w:rPr>
              <w:t>1.支持接入</w:t>
            </w:r>
            <w:r>
              <w:rPr>
                <w:rFonts w:hint="eastAsia" w:ascii="宋体" w:hAnsi="宋体" w:cs="宋体"/>
                <w:i w:val="0"/>
                <w:iCs w:val="0"/>
                <w:color w:val="auto"/>
                <w:sz w:val="21"/>
                <w:szCs w:val="21"/>
                <w:highlight w:val="none"/>
                <w:u w:val="none"/>
                <w:lang w:val="en-US" w:eastAsia="zh-CN" w:bidi="ar"/>
              </w:rPr>
              <w:t>采购人现有</w:t>
            </w:r>
            <w:r>
              <w:rPr>
                <w:rFonts w:hint="eastAsia" w:ascii="宋体" w:hAnsi="宋体" w:eastAsia="宋体" w:cs="宋体"/>
                <w:i w:val="0"/>
                <w:iCs w:val="0"/>
                <w:color w:val="auto"/>
                <w:sz w:val="21"/>
                <w:szCs w:val="21"/>
                <w:highlight w:val="none"/>
                <w:u w:val="none"/>
                <w:lang w:val="en-US" w:eastAsia="zh-CN" w:bidi="ar"/>
              </w:rPr>
              <w:t>公安天网平台，实现一键报警系统前端设备音视频对讲的管理和天网监控点延伸；</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2.专线速率不低于4Mbps；</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3.网络传输链路稳定可靠，具备高可用性与抗干扰能力，保障7×24小时不间断运行；</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4.丢包率≤0.5%；</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5.线路具有全程可网管能力，负责提供接入侧所需的相关传输设备，并对相关线路及设备提供运维服务。</w:t>
            </w:r>
          </w:p>
        </w:tc>
      </w:tr>
      <w:tr w14:paraId="27E018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6" w:hRule="atLeast"/>
          <w:jc w:val="center"/>
        </w:trPr>
        <w:tc>
          <w:tcPr>
            <w:tcW w:w="1079" w:type="dxa"/>
            <w:tcBorders>
              <w:top w:val="single" w:color="auto" w:sz="4" w:space="0"/>
              <w:left w:val="single" w:color="auto" w:sz="4" w:space="0"/>
              <w:bottom w:val="single" w:color="auto" w:sz="4" w:space="0"/>
              <w:right w:val="single" w:color="auto" w:sz="4" w:space="0"/>
            </w:tcBorders>
            <w:noWrap w:val="0"/>
            <w:vAlign w:val="center"/>
          </w:tcPr>
          <w:p w14:paraId="2FB49649">
            <w:pPr>
              <w:keepNext w:val="0"/>
              <w:keepLines w:val="0"/>
              <w:pageBreakBefore w:val="0"/>
              <w:bidi w:val="0"/>
              <w:spacing w:line="30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976" w:type="dxa"/>
            <w:tcBorders>
              <w:top w:val="single" w:color="auto" w:sz="4" w:space="0"/>
              <w:left w:val="single" w:color="auto" w:sz="4" w:space="0"/>
              <w:bottom w:val="single" w:color="auto" w:sz="4" w:space="0"/>
              <w:right w:val="single" w:color="auto" w:sz="4" w:space="0"/>
            </w:tcBorders>
            <w:noWrap w:val="0"/>
            <w:vAlign w:val="center"/>
          </w:tcPr>
          <w:p w14:paraId="4B127100">
            <w:pPr>
              <w:keepNext w:val="0"/>
              <w:keepLines w:val="0"/>
              <w:pageBreakBefore w:val="0"/>
              <w:widowControl/>
              <w:suppressLineNumbers w:val="0"/>
              <w:bidi w:val="0"/>
              <w:spacing w:line="300" w:lineRule="auto"/>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云存储服务</w:t>
            </w:r>
          </w:p>
          <w:p w14:paraId="326265AD">
            <w:pPr>
              <w:keepNext w:val="0"/>
              <w:keepLines w:val="0"/>
              <w:pageBreakBefore w:val="0"/>
              <w:widowControl/>
              <w:suppressLineNumbers w:val="0"/>
              <w:bidi w:val="0"/>
              <w:spacing w:line="300" w:lineRule="auto"/>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点位</w:t>
            </w:r>
          </w:p>
        </w:tc>
        <w:tc>
          <w:tcPr>
            <w:tcW w:w="1241" w:type="dxa"/>
            <w:tcBorders>
              <w:top w:val="single" w:color="auto" w:sz="4" w:space="0"/>
              <w:left w:val="single" w:color="auto" w:sz="4" w:space="0"/>
              <w:bottom w:val="single" w:color="auto" w:sz="4" w:space="0"/>
              <w:right w:val="single" w:color="auto" w:sz="4" w:space="0"/>
            </w:tcBorders>
            <w:noWrap w:val="0"/>
            <w:vAlign w:val="center"/>
          </w:tcPr>
          <w:p w14:paraId="48C16AA7">
            <w:pPr>
              <w:keepNext w:val="0"/>
              <w:keepLines w:val="0"/>
              <w:pageBreakBefore w:val="0"/>
              <w:widowControl/>
              <w:suppressLineNumbers w:val="0"/>
              <w:bidi w:val="0"/>
              <w:spacing w:line="30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bidi="ar"/>
              </w:rPr>
              <w:t>1个</w:t>
            </w:r>
          </w:p>
        </w:tc>
        <w:tc>
          <w:tcPr>
            <w:tcW w:w="5588" w:type="dxa"/>
            <w:tcBorders>
              <w:top w:val="single" w:color="auto" w:sz="4" w:space="0"/>
              <w:left w:val="single" w:color="auto" w:sz="4" w:space="0"/>
              <w:bottom w:val="single" w:color="auto" w:sz="4" w:space="0"/>
              <w:right w:val="single" w:color="auto" w:sz="4" w:space="0"/>
            </w:tcBorders>
            <w:noWrap w:val="0"/>
            <w:vAlign w:val="bottom"/>
          </w:tcPr>
          <w:p w14:paraId="66804462">
            <w:pPr>
              <w:keepNext w:val="0"/>
              <w:keepLines w:val="0"/>
              <w:pageBreakBefore w:val="0"/>
              <w:widowControl/>
              <w:suppressLineNumbers w:val="0"/>
              <w:bidi w:val="0"/>
              <w:spacing w:line="300" w:lineRule="auto"/>
              <w:jc w:val="left"/>
              <w:rPr>
                <w:rFonts w:hint="eastAsia" w:ascii="宋体" w:hAnsi="宋体" w:eastAsia="宋体" w:cs="宋体"/>
                <w:color w:val="auto"/>
                <w:sz w:val="24"/>
                <w:szCs w:val="24"/>
                <w:highlight w:val="none"/>
              </w:rPr>
            </w:pPr>
            <w:r>
              <w:rPr>
                <w:rFonts w:hint="eastAsia" w:ascii="宋体" w:hAnsi="宋体" w:eastAsia="宋体" w:cs="宋体"/>
                <w:i w:val="0"/>
                <w:iCs w:val="0"/>
                <w:color w:val="auto"/>
                <w:sz w:val="21"/>
                <w:szCs w:val="21"/>
                <w:highlight w:val="none"/>
                <w:u w:val="none"/>
                <w:lang w:val="en-US" w:eastAsia="zh-CN" w:bidi="ar"/>
              </w:rPr>
              <w:t>1.对象存储提供对象存储接入能力，支持标准S3协议，对象上传、下载、删除、多版本等基本特性，多文件压缩、图片处理、生命周期等功能，同时也提供加密、合规保留等多种高级特性，本项目所有人脸、人体、车辆识别及云存储功能</w:t>
            </w:r>
            <w:r>
              <w:rPr>
                <w:rFonts w:hint="eastAsia" w:ascii="宋体" w:hAnsi="宋体" w:cs="宋体"/>
                <w:i w:val="0"/>
                <w:iCs w:val="0"/>
                <w:color w:val="auto"/>
                <w:sz w:val="21"/>
                <w:szCs w:val="21"/>
                <w:highlight w:val="none"/>
                <w:u w:val="none"/>
                <w:lang w:val="en-US" w:eastAsia="zh-CN" w:bidi="ar"/>
              </w:rPr>
              <w:t>，</w:t>
            </w:r>
            <w:r>
              <w:rPr>
                <w:color w:val="auto"/>
                <w:highlight w:val="none"/>
              </w:rPr>
              <w:t>具备自主知识产权或合法授权</w:t>
            </w:r>
            <w:r>
              <w:rPr>
                <w:rFonts w:hint="eastAsia" w:ascii="宋体" w:hAnsi="宋体" w:eastAsia="宋体" w:cs="宋体"/>
                <w:i w:val="0"/>
                <w:iCs w:val="0"/>
                <w:color w:val="auto"/>
                <w:sz w:val="21"/>
                <w:szCs w:val="21"/>
                <w:highlight w:val="none"/>
                <w:u w:val="none"/>
                <w:lang w:val="en-US" w:eastAsia="zh-CN" w:bidi="ar"/>
              </w:rPr>
              <w:t>，须与现有系统完全兼容、</w:t>
            </w:r>
            <w:r>
              <w:rPr>
                <w:rFonts w:hint="eastAsia" w:ascii="宋体" w:hAnsi="宋体" w:cs="宋体"/>
                <w:i w:val="0"/>
                <w:iCs w:val="0"/>
                <w:color w:val="auto"/>
                <w:sz w:val="21"/>
                <w:szCs w:val="21"/>
                <w:highlight w:val="none"/>
                <w:u w:val="none"/>
                <w:lang w:val="en-US" w:eastAsia="zh-CN" w:bidi="ar"/>
              </w:rPr>
              <w:t>可实现数据</w:t>
            </w:r>
            <w:r>
              <w:rPr>
                <w:rFonts w:hint="eastAsia" w:ascii="宋体" w:hAnsi="宋体" w:eastAsia="宋体" w:cs="宋体"/>
                <w:i w:val="0"/>
                <w:iCs w:val="0"/>
                <w:color w:val="auto"/>
                <w:sz w:val="21"/>
                <w:szCs w:val="21"/>
                <w:highlight w:val="none"/>
                <w:u w:val="none"/>
                <w:lang w:val="en-US" w:eastAsia="zh-CN" w:bidi="ar"/>
              </w:rPr>
              <w:t>对接、互联互通，保障云存储业务正常联动运行；</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2.存储集群，提供分部署存储能力保障数据安全性和完整性。弹性扩缩容，数据均衡算法，故障保护，数据恢复；</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3.支持符合GB/T28181协议的设备直连接入，接入后可进行接入注册、控制、预览、存储、回放；</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4.满足268路400W像素高清监控录像存储30天；</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5.支持用户节点配额和桶配额功能；</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6.支持数据合规保护功能(WORM)，用户可设置数据保护期，避免数据在保护期内被恶意改；</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7.支持对象存储数据回源，通过配置重定向或镜像回源从源站访问对应的数据。</w:t>
            </w:r>
          </w:p>
        </w:tc>
      </w:tr>
      <w:tr w14:paraId="650020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6" w:hRule="atLeast"/>
          <w:jc w:val="center"/>
        </w:trPr>
        <w:tc>
          <w:tcPr>
            <w:tcW w:w="1079" w:type="dxa"/>
            <w:tcBorders>
              <w:top w:val="single" w:color="auto" w:sz="4" w:space="0"/>
              <w:left w:val="single" w:color="auto" w:sz="4" w:space="0"/>
              <w:bottom w:val="single" w:color="auto" w:sz="4" w:space="0"/>
              <w:right w:val="single" w:color="auto" w:sz="4" w:space="0"/>
            </w:tcBorders>
            <w:noWrap w:val="0"/>
            <w:vAlign w:val="center"/>
          </w:tcPr>
          <w:p w14:paraId="76488694">
            <w:pPr>
              <w:keepNext w:val="0"/>
              <w:keepLines w:val="0"/>
              <w:pageBreakBefore w:val="0"/>
              <w:bidi w:val="0"/>
              <w:spacing w:line="30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976" w:type="dxa"/>
            <w:tcBorders>
              <w:top w:val="single" w:color="auto" w:sz="4" w:space="0"/>
              <w:left w:val="single" w:color="auto" w:sz="4" w:space="0"/>
              <w:bottom w:val="single" w:color="auto" w:sz="4" w:space="0"/>
              <w:right w:val="single" w:color="auto" w:sz="4" w:space="0"/>
            </w:tcBorders>
            <w:noWrap w:val="0"/>
            <w:vAlign w:val="center"/>
          </w:tcPr>
          <w:p w14:paraId="2D08C27F">
            <w:pPr>
              <w:keepNext w:val="0"/>
              <w:keepLines w:val="0"/>
              <w:pageBreakBefore w:val="0"/>
              <w:widowControl/>
              <w:suppressLineNumbers w:val="0"/>
              <w:bidi w:val="0"/>
              <w:spacing w:line="300" w:lineRule="auto"/>
              <w:jc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高清摄像头接入服务点位</w:t>
            </w:r>
          </w:p>
        </w:tc>
        <w:tc>
          <w:tcPr>
            <w:tcW w:w="1241" w:type="dxa"/>
            <w:tcBorders>
              <w:top w:val="single" w:color="auto" w:sz="4" w:space="0"/>
              <w:left w:val="single" w:color="auto" w:sz="4" w:space="0"/>
              <w:bottom w:val="single" w:color="auto" w:sz="4" w:space="0"/>
              <w:right w:val="single" w:color="auto" w:sz="4" w:space="0"/>
            </w:tcBorders>
            <w:noWrap w:val="0"/>
            <w:vAlign w:val="center"/>
          </w:tcPr>
          <w:p w14:paraId="0F9549FA">
            <w:pPr>
              <w:keepNext w:val="0"/>
              <w:keepLines w:val="0"/>
              <w:pageBreakBefore w:val="0"/>
              <w:widowControl/>
              <w:suppressLineNumbers w:val="0"/>
              <w:bidi w:val="0"/>
              <w:spacing w:line="30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bidi="ar"/>
              </w:rPr>
              <w:t>268个</w:t>
            </w:r>
          </w:p>
        </w:tc>
        <w:tc>
          <w:tcPr>
            <w:tcW w:w="5588" w:type="dxa"/>
            <w:tcBorders>
              <w:top w:val="single" w:color="auto" w:sz="4" w:space="0"/>
              <w:left w:val="single" w:color="auto" w:sz="4" w:space="0"/>
              <w:bottom w:val="single" w:color="auto" w:sz="4" w:space="0"/>
              <w:right w:val="single" w:color="auto" w:sz="4" w:space="0"/>
            </w:tcBorders>
            <w:noWrap w:val="0"/>
            <w:vAlign w:val="bottom"/>
          </w:tcPr>
          <w:p w14:paraId="0C507881">
            <w:pPr>
              <w:keepNext w:val="0"/>
              <w:keepLines w:val="0"/>
              <w:pageBreakBefore w:val="0"/>
              <w:widowControl/>
              <w:suppressLineNumbers w:val="0"/>
              <w:bidi w:val="0"/>
              <w:spacing w:line="300" w:lineRule="auto"/>
              <w:jc w:val="left"/>
              <w:rPr>
                <w:rFonts w:hint="eastAsia" w:ascii="宋体" w:hAnsi="宋体" w:eastAsia="宋体" w:cs="宋体"/>
                <w:color w:val="auto"/>
                <w:sz w:val="24"/>
                <w:szCs w:val="24"/>
                <w:highlight w:val="none"/>
              </w:rPr>
            </w:pPr>
            <w:r>
              <w:rPr>
                <w:rFonts w:hint="eastAsia" w:ascii="宋体" w:hAnsi="宋体" w:eastAsia="宋体" w:cs="宋体"/>
                <w:i w:val="0"/>
                <w:iCs w:val="0"/>
                <w:color w:val="auto"/>
                <w:sz w:val="21"/>
                <w:szCs w:val="21"/>
                <w:highlight w:val="none"/>
                <w:u w:val="none"/>
                <w:lang w:val="en-US" w:eastAsia="zh-CN" w:bidi="ar"/>
              </w:rPr>
              <w:t>1.有效像素：400万，支持POE供电；</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2.镜头类型：变焦；</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3.接入标准：GB/T28181-2016、ONVIF、GA/T1400-2017；</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4.支持H.265编码算法；</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5.补光灯类型：智能红外补光；</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6.支持HTTPS安全Web访问；</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7.支持授权用户和口令访问，能进行弱口令检测与错误登录抑制，提升口令安全性；</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8.支持IP过滤，有效屏蔽非法IP地址访问；</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9.IP67防护等级；</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10.支持接入公安天网平台；</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11.本项目基于原有视频云存储系统接口接入，本项目摄像头采集的所有人脸、人体、车辆识别及云存储功能，须与现有系统完全兼容、</w:t>
            </w:r>
            <w:r>
              <w:rPr>
                <w:rFonts w:hint="eastAsia" w:ascii="宋体" w:hAnsi="宋体" w:cs="宋体"/>
                <w:i w:val="0"/>
                <w:iCs w:val="0"/>
                <w:color w:val="auto"/>
                <w:sz w:val="21"/>
                <w:szCs w:val="21"/>
                <w:highlight w:val="none"/>
                <w:u w:val="none"/>
                <w:lang w:val="en-US" w:eastAsia="zh-CN" w:bidi="ar"/>
              </w:rPr>
              <w:t>可实现数据</w:t>
            </w:r>
            <w:r>
              <w:rPr>
                <w:rFonts w:hint="eastAsia" w:ascii="宋体" w:hAnsi="宋体" w:eastAsia="宋体" w:cs="宋体"/>
                <w:i w:val="0"/>
                <w:iCs w:val="0"/>
                <w:color w:val="auto"/>
                <w:sz w:val="21"/>
                <w:szCs w:val="21"/>
                <w:highlight w:val="none"/>
                <w:u w:val="none"/>
                <w:lang w:val="en-US" w:eastAsia="zh-CN" w:bidi="ar"/>
              </w:rPr>
              <w:t>对接、互联互通，保障云存储业务正常联动运行。</w:t>
            </w:r>
          </w:p>
        </w:tc>
      </w:tr>
      <w:tr w14:paraId="7ECF07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6" w:hRule="atLeast"/>
          <w:jc w:val="center"/>
        </w:trPr>
        <w:tc>
          <w:tcPr>
            <w:tcW w:w="1079" w:type="dxa"/>
            <w:tcBorders>
              <w:top w:val="single" w:color="auto" w:sz="4" w:space="0"/>
              <w:left w:val="single" w:color="auto" w:sz="4" w:space="0"/>
              <w:bottom w:val="single" w:color="auto" w:sz="4" w:space="0"/>
              <w:right w:val="single" w:color="auto" w:sz="4" w:space="0"/>
            </w:tcBorders>
            <w:noWrap w:val="0"/>
            <w:vAlign w:val="center"/>
          </w:tcPr>
          <w:p w14:paraId="16638015">
            <w:pPr>
              <w:keepNext w:val="0"/>
              <w:keepLines w:val="0"/>
              <w:pageBreakBefore w:val="0"/>
              <w:bidi w:val="0"/>
              <w:spacing w:line="30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976" w:type="dxa"/>
            <w:tcBorders>
              <w:top w:val="single" w:color="auto" w:sz="4" w:space="0"/>
              <w:left w:val="single" w:color="auto" w:sz="4" w:space="0"/>
              <w:bottom w:val="single" w:color="auto" w:sz="4" w:space="0"/>
              <w:right w:val="single" w:color="auto" w:sz="4" w:space="0"/>
            </w:tcBorders>
            <w:noWrap w:val="0"/>
            <w:vAlign w:val="center"/>
          </w:tcPr>
          <w:p w14:paraId="499B37D2">
            <w:pPr>
              <w:keepNext w:val="0"/>
              <w:keepLines w:val="0"/>
              <w:pageBreakBefore w:val="0"/>
              <w:widowControl/>
              <w:suppressLineNumbers w:val="0"/>
              <w:bidi w:val="0"/>
              <w:spacing w:line="300" w:lineRule="auto"/>
              <w:jc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智能音柱接入服务点位</w:t>
            </w:r>
          </w:p>
        </w:tc>
        <w:tc>
          <w:tcPr>
            <w:tcW w:w="1241" w:type="dxa"/>
            <w:tcBorders>
              <w:top w:val="single" w:color="auto" w:sz="4" w:space="0"/>
              <w:left w:val="single" w:color="auto" w:sz="4" w:space="0"/>
              <w:bottom w:val="single" w:color="auto" w:sz="4" w:space="0"/>
              <w:right w:val="single" w:color="auto" w:sz="4" w:space="0"/>
            </w:tcBorders>
            <w:noWrap w:val="0"/>
            <w:vAlign w:val="center"/>
          </w:tcPr>
          <w:p w14:paraId="153C8CDD">
            <w:pPr>
              <w:keepNext w:val="0"/>
              <w:keepLines w:val="0"/>
              <w:pageBreakBefore w:val="0"/>
              <w:widowControl/>
              <w:suppressLineNumbers w:val="0"/>
              <w:bidi w:val="0"/>
              <w:spacing w:line="30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bidi="ar"/>
              </w:rPr>
              <w:t>50个</w:t>
            </w:r>
          </w:p>
        </w:tc>
        <w:tc>
          <w:tcPr>
            <w:tcW w:w="5588" w:type="dxa"/>
            <w:tcBorders>
              <w:top w:val="single" w:color="auto" w:sz="4" w:space="0"/>
              <w:left w:val="single" w:color="auto" w:sz="4" w:space="0"/>
              <w:bottom w:val="single" w:color="auto" w:sz="4" w:space="0"/>
              <w:right w:val="single" w:color="auto" w:sz="4" w:space="0"/>
            </w:tcBorders>
            <w:noWrap w:val="0"/>
            <w:vAlign w:val="bottom"/>
          </w:tcPr>
          <w:p w14:paraId="2D91AD88">
            <w:pPr>
              <w:keepNext w:val="0"/>
              <w:keepLines w:val="0"/>
              <w:pageBreakBefore w:val="0"/>
              <w:widowControl/>
              <w:suppressLineNumbers w:val="0"/>
              <w:bidi w:val="0"/>
              <w:spacing w:line="300" w:lineRule="auto"/>
              <w:jc w:val="left"/>
              <w:rPr>
                <w:rFonts w:hint="eastAsia" w:ascii="宋体" w:hAnsi="宋体" w:eastAsia="宋体" w:cs="宋体"/>
                <w:color w:val="auto"/>
                <w:sz w:val="24"/>
                <w:szCs w:val="24"/>
                <w:highlight w:val="none"/>
              </w:rPr>
            </w:pPr>
            <w:r>
              <w:rPr>
                <w:rFonts w:hint="eastAsia" w:ascii="宋体" w:hAnsi="宋体" w:eastAsia="宋体" w:cs="宋体"/>
                <w:i w:val="0"/>
                <w:iCs w:val="0"/>
                <w:color w:val="auto"/>
                <w:sz w:val="21"/>
                <w:szCs w:val="21"/>
                <w:highlight w:val="none"/>
                <w:u w:val="none"/>
                <w:lang w:val="en-US" w:eastAsia="zh-CN" w:bidi="ar"/>
              </w:rPr>
              <w:t>1.额定功率：20W；</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2.峰值功率：40W；</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3.频率响应：150Hz~18kHz（±3dB）；</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4.灵敏度：92dB（1W/1m）；</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5.最大声压级：105dB（1m）；</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6.信噪比：≥85dB（A加权）；</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7.供电方式：IEEE802.3af标准POE供电，兼容802.3at标准；</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8.工作电压：44V~57VDC；</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9.最大功耗：≤15W；</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10.待机功耗：≤1W；</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11.音频输入接口：1×RJ45网络接口（音频+供电）、1×RCA莲花头模拟音频输入；</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12.音频编码格式：G.711A/G.711U/G.729，兼容主流安防平台；</w:t>
            </w:r>
            <w:r>
              <w:rPr>
                <w:rFonts w:hint="eastAsia" w:ascii="宋体" w:hAnsi="宋体" w:eastAsia="宋体" w:cs="宋体"/>
                <w:i w:val="0"/>
                <w:iCs w:val="0"/>
                <w:color w:val="auto"/>
                <w:sz w:val="21"/>
                <w:szCs w:val="21"/>
                <w:highlight w:val="none"/>
                <w:u w:val="none"/>
                <w:lang w:val="en-US" w:eastAsia="zh-CN" w:bidi="ar"/>
              </w:rPr>
              <w:br w:type="textWrapping"/>
            </w:r>
            <w:r>
              <w:rPr>
                <w:rFonts w:hint="eastAsia" w:ascii="宋体" w:hAnsi="宋体" w:eastAsia="宋体" w:cs="宋体"/>
                <w:i w:val="0"/>
                <w:iCs w:val="0"/>
                <w:color w:val="auto"/>
                <w:sz w:val="21"/>
                <w:szCs w:val="21"/>
                <w:highlight w:val="none"/>
                <w:u w:val="none"/>
                <w:lang w:val="en-US" w:eastAsia="zh-CN" w:bidi="ar"/>
              </w:rPr>
              <w:t>13.防护等级：IP65；</w:t>
            </w:r>
          </w:p>
        </w:tc>
      </w:tr>
    </w:tbl>
    <w:p w14:paraId="3B085CAA">
      <w:pPr>
        <w:rPr>
          <w:rFonts w:hint="eastAsia" w:ascii="宋体" w:hAnsi="宋体" w:eastAsia="宋体" w:cs="宋体"/>
          <w:b/>
          <w:color w:val="auto"/>
          <w:szCs w:val="21"/>
          <w:highlight w:val="none"/>
        </w:rPr>
      </w:pPr>
    </w:p>
    <w:tbl>
      <w:tblPr>
        <w:tblStyle w:val="36"/>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4"/>
        <w:gridCol w:w="7643"/>
      </w:tblGrid>
      <w:tr w14:paraId="74E80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9017" w:type="dxa"/>
            <w:gridSpan w:val="2"/>
            <w:noWrap w:val="0"/>
            <w:vAlign w:val="center"/>
          </w:tcPr>
          <w:p w14:paraId="51032E9B">
            <w:pPr>
              <w:spacing w:after="0" w:line="240" w:lineRule="auto"/>
              <w:jc w:val="center"/>
              <w:rPr>
                <w:rFonts w:hint="default" w:ascii="宋体" w:hAnsi="宋体" w:cs="宋体"/>
                <w:color w:val="auto"/>
                <w:sz w:val="24"/>
                <w:highlight w:val="none"/>
                <w:vertAlign w:val="baseline"/>
                <w:lang w:val="en-US" w:eastAsia="zh-CN"/>
              </w:rPr>
            </w:pPr>
            <w:r>
              <w:rPr>
                <w:rFonts w:hint="eastAsia" w:ascii="宋体" w:hAnsi="宋体" w:eastAsia="宋体" w:cs="宋体"/>
                <w:color w:val="auto"/>
                <w:szCs w:val="21"/>
                <w:highlight w:val="none"/>
              </w:rPr>
              <w:t>▲</w:t>
            </w:r>
            <w:r>
              <w:rPr>
                <w:rFonts w:hint="eastAsia" w:ascii="宋体" w:hAnsi="宋体" w:cs="宋体"/>
                <w:b/>
                <w:bCs/>
                <w:color w:val="auto"/>
                <w:sz w:val="36"/>
                <w:szCs w:val="36"/>
                <w:highlight w:val="none"/>
                <w:vertAlign w:val="baseline"/>
                <w:lang w:val="en-US" w:eastAsia="zh-CN"/>
              </w:rPr>
              <w:t>商务条款</w:t>
            </w:r>
          </w:p>
        </w:tc>
      </w:tr>
      <w:tr w14:paraId="030C7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4" w:type="dxa"/>
            <w:noWrap w:val="0"/>
            <w:vAlign w:val="center"/>
          </w:tcPr>
          <w:p w14:paraId="3D0D63EB">
            <w:pPr>
              <w:spacing w:after="0" w:line="320" w:lineRule="exact"/>
              <w:jc w:val="center"/>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1</w:t>
            </w:r>
          </w:p>
        </w:tc>
        <w:tc>
          <w:tcPr>
            <w:tcW w:w="7643" w:type="dxa"/>
            <w:noWrap w:val="0"/>
            <w:vAlign w:val="top"/>
          </w:tcPr>
          <w:p w14:paraId="2B141D71">
            <w:pPr>
              <w:spacing w:after="0" w:line="320" w:lineRule="exact"/>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合同签订期：自成交通知书发出之日起30日内。</w:t>
            </w:r>
          </w:p>
        </w:tc>
      </w:tr>
      <w:tr w14:paraId="05CE6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4" w:type="dxa"/>
            <w:noWrap w:val="0"/>
            <w:vAlign w:val="center"/>
          </w:tcPr>
          <w:p w14:paraId="28D20DF3">
            <w:pPr>
              <w:spacing w:after="0" w:line="320" w:lineRule="exact"/>
              <w:jc w:val="center"/>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2</w:t>
            </w:r>
          </w:p>
        </w:tc>
        <w:tc>
          <w:tcPr>
            <w:tcW w:w="7643" w:type="dxa"/>
            <w:noWrap w:val="0"/>
          </w:tcPr>
          <w:p w14:paraId="527CEA07">
            <w:pPr>
              <w:spacing w:after="0" w:line="320" w:lineRule="exact"/>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运维服务期：</w:t>
            </w:r>
            <w:r>
              <w:rPr>
                <w:rFonts w:hint="eastAsia" w:ascii="宋体" w:hAnsi="宋体" w:cs="宋体"/>
                <w:color w:val="auto"/>
                <w:sz w:val="24"/>
                <w:highlight w:val="none"/>
                <w:vertAlign w:val="baseline"/>
                <w:lang w:val="en-US" w:eastAsia="zh-CN"/>
              </w:rPr>
              <w:t>自合同签订之日起计2年。</w:t>
            </w:r>
          </w:p>
        </w:tc>
      </w:tr>
      <w:tr w14:paraId="2B414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4" w:type="dxa"/>
            <w:noWrap w:val="0"/>
            <w:vAlign w:val="center"/>
          </w:tcPr>
          <w:p w14:paraId="6C0B8EFF">
            <w:pPr>
              <w:spacing w:after="0" w:line="320" w:lineRule="exact"/>
              <w:jc w:val="center"/>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3</w:t>
            </w:r>
          </w:p>
        </w:tc>
        <w:tc>
          <w:tcPr>
            <w:tcW w:w="7643" w:type="dxa"/>
            <w:noWrap w:val="0"/>
          </w:tcPr>
          <w:p w14:paraId="3EC6A9C1">
            <w:pPr>
              <w:spacing w:after="0" w:line="320" w:lineRule="exact"/>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交货地点：采购人指定地点。</w:t>
            </w:r>
          </w:p>
        </w:tc>
      </w:tr>
      <w:tr w14:paraId="1914D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6" w:hRule="atLeast"/>
        </w:trPr>
        <w:tc>
          <w:tcPr>
            <w:tcW w:w="1374" w:type="dxa"/>
            <w:noWrap w:val="0"/>
            <w:vAlign w:val="center"/>
          </w:tcPr>
          <w:p w14:paraId="62974FA7">
            <w:pPr>
              <w:spacing w:after="0" w:line="320" w:lineRule="exact"/>
              <w:jc w:val="center"/>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4</w:t>
            </w:r>
          </w:p>
        </w:tc>
        <w:tc>
          <w:tcPr>
            <w:tcW w:w="7643" w:type="dxa"/>
            <w:noWrap w:val="0"/>
          </w:tcPr>
          <w:p w14:paraId="0942BE04">
            <w:pPr>
              <w:spacing w:after="0" w:line="320" w:lineRule="exact"/>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运维</w:t>
            </w:r>
            <w:r>
              <w:rPr>
                <w:rFonts w:hint="default" w:ascii="宋体" w:hAnsi="宋体" w:cs="宋体"/>
                <w:color w:val="auto"/>
                <w:sz w:val="24"/>
                <w:highlight w:val="none"/>
                <w:vertAlign w:val="baseline"/>
                <w:lang w:val="en-US" w:eastAsia="zh-CN"/>
              </w:rPr>
              <w:t>服务要求：</w:t>
            </w:r>
          </w:p>
          <w:p w14:paraId="6A3EB32C">
            <w:pPr>
              <w:spacing w:after="0" w:line="320" w:lineRule="exact"/>
              <w:rPr>
                <w:rFonts w:hint="default" w:ascii="宋体" w:hAnsi="宋体" w:cs="宋体"/>
                <w:color w:val="auto"/>
                <w:sz w:val="24"/>
                <w:highlight w:val="none"/>
                <w:vertAlign w:val="baseline"/>
                <w:lang w:val="en-US" w:eastAsia="zh-CN"/>
              </w:rPr>
            </w:pPr>
            <w:r>
              <w:rPr>
                <w:rFonts w:hint="default" w:ascii="宋体" w:hAnsi="宋体" w:cs="宋体"/>
                <w:color w:val="auto"/>
                <w:sz w:val="24"/>
                <w:highlight w:val="none"/>
                <w:vertAlign w:val="baseline"/>
                <w:lang w:val="en-US" w:eastAsia="zh-CN"/>
              </w:rPr>
              <w:t>(1)故障响应时间：</w:t>
            </w:r>
            <w:r>
              <w:rPr>
                <w:rFonts w:hint="eastAsia" w:ascii="宋体" w:hAnsi="宋体" w:cs="宋体"/>
                <w:color w:val="auto"/>
                <w:sz w:val="24"/>
                <w:highlight w:val="none"/>
                <w:vertAlign w:val="baseline"/>
                <w:lang w:val="en-US" w:eastAsia="zh-CN"/>
              </w:rPr>
              <w:t>成交</w:t>
            </w:r>
            <w:r>
              <w:rPr>
                <w:rFonts w:hint="default" w:ascii="宋体" w:hAnsi="宋体" w:cs="宋体"/>
                <w:color w:val="auto"/>
                <w:sz w:val="24"/>
                <w:highlight w:val="none"/>
                <w:vertAlign w:val="baseline"/>
                <w:lang w:val="en-US" w:eastAsia="zh-CN"/>
              </w:rPr>
              <w:t>供应商接到故障通知后在</w:t>
            </w:r>
            <w:r>
              <w:rPr>
                <w:rFonts w:hint="eastAsia" w:ascii="宋体" w:hAnsi="宋体" w:cs="宋体"/>
                <w:color w:val="auto"/>
                <w:sz w:val="24"/>
                <w:highlight w:val="none"/>
                <w:vertAlign w:val="baseline"/>
                <w:lang w:val="en-US" w:eastAsia="zh-CN"/>
              </w:rPr>
              <w:t>1小时</w:t>
            </w:r>
            <w:r>
              <w:rPr>
                <w:rFonts w:hint="default" w:ascii="宋体" w:hAnsi="宋体" w:cs="宋体"/>
                <w:color w:val="auto"/>
                <w:sz w:val="24"/>
                <w:highlight w:val="none"/>
                <w:vertAlign w:val="baseline"/>
                <w:lang w:val="en-US" w:eastAsia="zh-CN"/>
              </w:rPr>
              <w:t>内响应，</w:t>
            </w:r>
            <w:r>
              <w:rPr>
                <w:rFonts w:hint="eastAsia" w:ascii="宋体" w:hAnsi="宋体" w:cs="宋体"/>
                <w:color w:val="auto"/>
                <w:sz w:val="24"/>
                <w:highlight w:val="none"/>
                <w:vertAlign w:val="baseline"/>
                <w:lang w:val="en-US" w:eastAsia="zh-CN"/>
              </w:rPr>
              <w:t>24</w:t>
            </w:r>
            <w:r>
              <w:rPr>
                <w:rFonts w:hint="default" w:ascii="宋体" w:hAnsi="宋体" w:cs="宋体"/>
                <w:color w:val="auto"/>
                <w:sz w:val="24"/>
                <w:highlight w:val="none"/>
                <w:vertAlign w:val="baseline"/>
                <w:lang w:val="en-US" w:eastAsia="zh-CN"/>
              </w:rPr>
              <w:t>小时</w:t>
            </w:r>
            <w:r>
              <w:rPr>
                <w:rFonts w:hint="default" w:ascii="宋体" w:hAnsi="宋体" w:cs="宋体"/>
                <w:color w:val="auto"/>
                <w:sz w:val="24"/>
                <w:highlight w:val="none"/>
                <w:vertAlign w:val="baseline"/>
                <w:lang w:val="en-US" w:eastAsia="zh-CN"/>
              </w:rPr>
              <w:t>内到达现场处理，一般故障</w:t>
            </w:r>
            <w:r>
              <w:rPr>
                <w:rFonts w:hint="eastAsia" w:ascii="宋体" w:hAnsi="宋体" w:cs="宋体"/>
                <w:color w:val="auto"/>
                <w:sz w:val="24"/>
                <w:highlight w:val="none"/>
                <w:vertAlign w:val="baseline"/>
                <w:lang w:val="en-US" w:eastAsia="zh-CN"/>
              </w:rPr>
              <w:t>24</w:t>
            </w:r>
            <w:r>
              <w:rPr>
                <w:rFonts w:hint="default" w:ascii="宋体" w:hAnsi="宋体" w:cs="宋体"/>
                <w:color w:val="auto"/>
                <w:sz w:val="24"/>
                <w:highlight w:val="none"/>
                <w:vertAlign w:val="baseline"/>
                <w:lang w:val="en-US" w:eastAsia="zh-CN"/>
              </w:rPr>
              <w:t>小时内解决问题，重大故障</w:t>
            </w:r>
            <w:r>
              <w:rPr>
                <w:rFonts w:hint="eastAsia" w:ascii="宋体" w:hAnsi="宋体" w:cs="宋体"/>
                <w:color w:val="auto"/>
                <w:sz w:val="24"/>
                <w:highlight w:val="none"/>
                <w:vertAlign w:val="baseline"/>
                <w:lang w:val="en-US" w:eastAsia="zh-CN"/>
              </w:rPr>
              <w:t>60</w:t>
            </w:r>
            <w:r>
              <w:rPr>
                <w:rFonts w:hint="default" w:ascii="宋体" w:hAnsi="宋体" w:cs="宋体"/>
                <w:color w:val="auto"/>
                <w:sz w:val="24"/>
                <w:highlight w:val="none"/>
                <w:vertAlign w:val="baseline"/>
                <w:lang w:val="en-US" w:eastAsia="zh-CN"/>
              </w:rPr>
              <w:t>小时内解决问题。若故障仍无法排除，成交供应商应提供可满足使用要求的替代产品供</w:t>
            </w:r>
            <w:r>
              <w:rPr>
                <w:rFonts w:hint="eastAsia" w:ascii="宋体" w:hAnsi="宋体" w:cs="宋体"/>
                <w:color w:val="auto"/>
                <w:sz w:val="24"/>
                <w:highlight w:val="none"/>
                <w:vertAlign w:val="baseline"/>
                <w:lang w:val="en-US" w:eastAsia="zh-CN"/>
              </w:rPr>
              <w:t>采购人</w:t>
            </w:r>
            <w:r>
              <w:rPr>
                <w:rFonts w:hint="default" w:ascii="宋体" w:hAnsi="宋体" w:cs="宋体"/>
                <w:color w:val="auto"/>
                <w:sz w:val="24"/>
                <w:highlight w:val="none"/>
                <w:vertAlign w:val="baseline"/>
                <w:lang w:val="en-US" w:eastAsia="zh-CN"/>
              </w:rPr>
              <w:t>使用，直至原产品故障排除为止。产品维修或更换后其保修期相应顺延。</w:t>
            </w:r>
          </w:p>
          <w:p w14:paraId="265FEB8F">
            <w:pPr>
              <w:spacing w:after="0" w:line="320" w:lineRule="exact"/>
              <w:rPr>
                <w:rFonts w:hint="default" w:ascii="宋体" w:hAnsi="宋体" w:cs="宋体"/>
                <w:color w:val="auto"/>
                <w:sz w:val="24"/>
                <w:highlight w:val="none"/>
                <w:vertAlign w:val="baseline"/>
                <w:lang w:val="en-US" w:eastAsia="zh-CN"/>
              </w:rPr>
            </w:pPr>
            <w:r>
              <w:rPr>
                <w:rFonts w:hint="default" w:ascii="宋体" w:hAnsi="宋体" w:cs="宋体"/>
                <w:color w:val="auto"/>
                <w:sz w:val="24"/>
                <w:highlight w:val="none"/>
                <w:vertAlign w:val="baseline"/>
                <w:lang w:val="en-US" w:eastAsia="zh-CN"/>
              </w:rPr>
              <w:t>(2)</w:t>
            </w:r>
            <w:r>
              <w:rPr>
                <w:rFonts w:hint="eastAsia" w:ascii="宋体" w:hAnsi="宋体" w:cs="宋体"/>
                <w:color w:val="auto"/>
                <w:sz w:val="24"/>
                <w:highlight w:val="none"/>
                <w:vertAlign w:val="baseline"/>
                <w:lang w:val="en-US" w:eastAsia="zh-CN"/>
              </w:rPr>
              <w:t>应标</w:t>
            </w:r>
            <w:r>
              <w:rPr>
                <w:rFonts w:hint="default" w:ascii="宋体" w:hAnsi="宋体" w:cs="宋体"/>
                <w:color w:val="auto"/>
                <w:sz w:val="24"/>
                <w:highlight w:val="none"/>
                <w:vertAlign w:val="baseline"/>
                <w:lang w:val="en-US" w:eastAsia="zh-CN"/>
              </w:rPr>
              <w:t>产品须是按厂家出厂标准配置提供的整套全新，具备正规合法经销渠道，符合相关标准要求的全新合格产品(包括所有零部件、元器件和附件)。若产品在运输过程中损坏须</w:t>
            </w:r>
            <w:r>
              <w:rPr>
                <w:rFonts w:hint="eastAsia" w:ascii="宋体" w:hAnsi="宋体" w:cs="宋体"/>
                <w:color w:val="auto"/>
                <w:sz w:val="24"/>
                <w:highlight w:val="none"/>
                <w:vertAlign w:val="baseline"/>
                <w:lang w:val="en-US" w:eastAsia="zh-CN"/>
              </w:rPr>
              <w:t>负责</w:t>
            </w:r>
            <w:r>
              <w:rPr>
                <w:rFonts w:hint="default" w:ascii="宋体" w:hAnsi="宋体" w:cs="宋体"/>
                <w:color w:val="auto"/>
                <w:sz w:val="24"/>
                <w:highlight w:val="none"/>
                <w:vertAlign w:val="baseline"/>
                <w:lang w:val="en-US" w:eastAsia="zh-CN"/>
              </w:rPr>
              <w:t>调换同样产品，并按生产厂家或国家有关规定实行“三包”。(3)</w:t>
            </w:r>
            <w:r>
              <w:rPr>
                <w:rFonts w:hint="eastAsia" w:ascii="宋体" w:hAnsi="宋体" w:cs="宋体"/>
                <w:color w:val="auto"/>
                <w:sz w:val="24"/>
                <w:highlight w:val="none"/>
                <w:vertAlign w:val="baseline"/>
                <w:lang w:val="en-US" w:eastAsia="zh-CN"/>
              </w:rPr>
              <w:t>成交供应商</w:t>
            </w:r>
            <w:r>
              <w:rPr>
                <w:rFonts w:hint="default" w:ascii="宋体" w:hAnsi="宋体" w:cs="宋体"/>
                <w:color w:val="auto"/>
                <w:sz w:val="24"/>
                <w:highlight w:val="none"/>
                <w:vertAlign w:val="baseline"/>
                <w:lang w:val="en-US" w:eastAsia="zh-CN"/>
              </w:rPr>
              <w:t>须</w:t>
            </w:r>
            <w:r>
              <w:rPr>
                <w:rFonts w:hint="eastAsia" w:ascii="宋体" w:hAnsi="宋体" w:cs="宋体"/>
                <w:color w:val="auto"/>
                <w:sz w:val="24"/>
                <w:highlight w:val="none"/>
                <w:vertAlign w:val="baseline"/>
                <w:lang w:val="en-US" w:eastAsia="zh-CN"/>
              </w:rPr>
              <w:t>负责</w:t>
            </w:r>
            <w:r>
              <w:rPr>
                <w:rFonts w:hint="default" w:ascii="宋体" w:hAnsi="宋体" w:cs="宋体"/>
                <w:color w:val="auto"/>
                <w:sz w:val="24"/>
                <w:highlight w:val="none"/>
                <w:vertAlign w:val="baseline"/>
                <w:lang w:val="en-US" w:eastAsia="zh-CN"/>
              </w:rPr>
              <w:t>送货至</w:t>
            </w:r>
            <w:r>
              <w:rPr>
                <w:rFonts w:hint="eastAsia" w:ascii="宋体" w:hAnsi="宋体" w:cs="宋体"/>
                <w:color w:val="auto"/>
                <w:sz w:val="24"/>
                <w:highlight w:val="none"/>
                <w:vertAlign w:val="baseline"/>
                <w:lang w:val="en-US" w:eastAsia="zh-CN"/>
              </w:rPr>
              <w:t>采购人</w:t>
            </w:r>
            <w:r>
              <w:rPr>
                <w:rFonts w:hint="default" w:ascii="宋体" w:hAnsi="宋体" w:cs="宋体"/>
                <w:color w:val="auto"/>
                <w:sz w:val="24"/>
                <w:highlight w:val="none"/>
                <w:vertAlign w:val="baseline"/>
                <w:lang w:val="en-US" w:eastAsia="zh-CN"/>
              </w:rPr>
              <w:t>指定的地点并负责全套设备的安装、调试及项目整体测试、联调和开通；调试过程中须进行详细记录，系统调试结束后，由</w:t>
            </w:r>
            <w:r>
              <w:rPr>
                <w:rFonts w:hint="eastAsia" w:ascii="宋体" w:hAnsi="宋体" w:cs="宋体"/>
                <w:color w:val="auto"/>
                <w:sz w:val="24"/>
                <w:highlight w:val="none"/>
                <w:vertAlign w:val="baseline"/>
                <w:lang w:val="en-US" w:eastAsia="zh-CN"/>
              </w:rPr>
              <w:t>成交供应商</w:t>
            </w:r>
            <w:r>
              <w:rPr>
                <w:rFonts w:hint="default" w:ascii="宋体" w:hAnsi="宋体" w:cs="宋体"/>
                <w:color w:val="auto"/>
                <w:sz w:val="24"/>
                <w:highlight w:val="none"/>
                <w:vertAlign w:val="baseline"/>
                <w:lang w:val="en-US" w:eastAsia="zh-CN"/>
              </w:rPr>
              <w:t>签字提交</w:t>
            </w:r>
            <w:r>
              <w:rPr>
                <w:rFonts w:hint="eastAsia" w:ascii="宋体" w:hAnsi="宋体" w:cs="宋体"/>
                <w:color w:val="auto"/>
                <w:sz w:val="24"/>
                <w:highlight w:val="none"/>
                <w:vertAlign w:val="baseline"/>
                <w:lang w:val="en-US" w:eastAsia="zh-CN"/>
              </w:rPr>
              <w:t>采购人</w:t>
            </w:r>
            <w:r>
              <w:rPr>
                <w:rFonts w:hint="default" w:ascii="宋体" w:hAnsi="宋体" w:cs="宋体"/>
                <w:color w:val="auto"/>
                <w:sz w:val="24"/>
                <w:highlight w:val="none"/>
                <w:vertAlign w:val="baseline"/>
                <w:lang w:val="en-US" w:eastAsia="zh-CN"/>
              </w:rPr>
              <w:t>验收。</w:t>
            </w:r>
          </w:p>
          <w:p w14:paraId="4313F564">
            <w:pPr>
              <w:spacing w:after="0" w:line="320" w:lineRule="exact"/>
              <w:rPr>
                <w:rFonts w:hint="default" w:ascii="宋体" w:hAnsi="宋体" w:cs="宋体"/>
                <w:color w:val="auto"/>
                <w:sz w:val="24"/>
                <w:highlight w:val="none"/>
                <w:vertAlign w:val="baseline"/>
                <w:lang w:val="en-US" w:eastAsia="zh-CN"/>
              </w:rPr>
            </w:pPr>
            <w:r>
              <w:rPr>
                <w:rFonts w:hint="default" w:ascii="宋体" w:hAnsi="宋体" w:cs="宋体"/>
                <w:color w:val="auto"/>
                <w:sz w:val="24"/>
                <w:highlight w:val="none"/>
                <w:vertAlign w:val="baseline"/>
                <w:lang w:val="en-US" w:eastAsia="zh-CN"/>
              </w:rPr>
              <w:t>(</w:t>
            </w:r>
            <w:r>
              <w:rPr>
                <w:rFonts w:hint="eastAsia" w:ascii="宋体" w:hAnsi="宋体" w:cs="宋体"/>
                <w:color w:val="auto"/>
                <w:sz w:val="24"/>
                <w:highlight w:val="none"/>
                <w:vertAlign w:val="baseline"/>
                <w:lang w:val="en-US" w:eastAsia="zh-CN"/>
              </w:rPr>
              <w:t>3</w:t>
            </w:r>
            <w:r>
              <w:rPr>
                <w:rFonts w:hint="default" w:ascii="宋体" w:hAnsi="宋体" w:cs="宋体"/>
                <w:color w:val="auto"/>
                <w:sz w:val="24"/>
                <w:highlight w:val="none"/>
                <w:vertAlign w:val="baseline"/>
                <w:lang w:val="en-US" w:eastAsia="zh-CN"/>
              </w:rPr>
              <w:t>)</w:t>
            </w:r>
            <w:r>
              <w:rPr>
                <w:rFonts w:hint="eastAsia" w:ascii="宋体" w:hAnsi="宋体" w:cs="宋体"/>
                <w:color w:val="auto"/>
                <w:sz w:val="24"/>
                <w:highlight w:val="none"/>
                <w:vertAlign w:val="baseline"/>
                <w:lang w:val="en-US" w:eastAsia="zh-CN"/>
              </w:rPr>
              <w:t>成交供应商</w:t>
            </w:r>
            <w:r>
              <w:rPr>
                <w:rFonts w:hint="default" w:ascii="宋体" w:hAnsi="宋体" w:cs="宋体"/>
                <w:color w:val="auto"/>
                <w:sz w:val="24"/>
                <w:highlight w:val="none"/>
                <w:vertAlign w:val="baseline"/>
                <w:lang w:val="en-US" w:eastAsia="zh-CN"/>
              </w:rPr>
              <w:t>须负责</w:t>
            </w:r>
            <w:r>
              <w:rPr>
                <w:rFonts w:hint="eastAsia" w:ascii="宋体" w:hAnsi="宋体" w:cs="宋体"/>
                <w:color w:val="auto"/>
                <w:sz w:val="24"/>
                <w:highlight w:val="none"/>
                <w:vertAlign w:val="baseline"/>
                <w:lang w:val="en-US" w:eastAsia="zh-CN"/>
              </w:rPr>
              <w:t>运维期间所有采购人方面的</w:t>
            </w:r>
            <w:r>
              <w:rPr>
                <w:rFonts w:hint="default" w:ascii="宋体" w:hAnsi="宋体" w:cs="宋体"/>
                <w:color w:val="auto"/>
                <w:sz w:val="24"/>
                <w:highlight w:val="none"/>
                <w:vertAlign w:val="baseline"/>
                <w:lang w:val="en-US" w:eastAsia="zh-CN"/>
              </w:rPr>
              <w:t>服务培训，</w:t>
            </w:r>
            <w:r>
              <w:rPr>
                <w:rFonts w:hint="eastAsia" w:ascii="宋体" w:hAnsi="宋体" w:cs="宋体"/>
                <w:color w:val="auto"/>
                <w:sz w:val="24"/>
                <w:highlight w:val="none"/>
                <w:vertAlign w:val="baseline"/>
                <w:lang w:val="en-US" w:eastAsia="zh-CN"/>
              </w:rPr>
              <w:t>负责</w:t>
            </w:r>
            <w:r>
              <w:rPr>
                <w:rFonts w:hint="default" w:ascii="宋体" w:hAnsi="宋体" w:cs="宋体"/>
                <w:color w:val="auto"/>
                <w:sz w:val="24"/>
                <w:highlight w:val="none"/>
                <w:vertAlign w:val="baseline"/>
                <w:lang w:val="en-US" w:eastAsia="zh-CN"/>
              </w:rPr>
              <w:t>提供系统软件升级，</w:t>
            </w:r>
            <w:r>
              <w:rPr>
                <w:rFonts w:hint="eastAsia" w:ascii="宋体" w:hAnsi="宋体" w:cs="宋体"/>
                <w:color w:val="auto"/>
                <w:sz w:val="24"/>
                <w:highlight w:val="none"/>
                <w:vertAlign w:val="baseline"/>
                <w:lang w:val="en-US" w:eastAsia="zh-CN"/>
              </w:rPr>
              <w:t>负责</w:t>
            </w:r>
            <w:r>
              <w:rPr>
                <w:rFonts w:hint="default" w:ascii="宋体" w:hAnsi="宋体" w:cs="宋体"/>
                <w:color w:val="auto"/>
                <w:sz w:val="24"/>
                <w:highlight w:val="none"/>
                <w:vertAlign w:val="baseline"/>
                <w:lang w:val="en-US" w:eastAsia="zh-CN"/>
              </w:rPr>
              <w:t>提供完整的产品使用手册、操作培训手册、维护手册，并</w:t>
            </w:r>
            <w:r>
              <w:rPr>
                <w:rFonts w:hint="eastAsia" w:ascii="宋体" w:hAnsi="宋体" w:cs="宋体"/>
                <w:color w:val="auto"/>
                <w:sz w:val="24"/>
                <w:highlight w:val="none"/>
                <w:vertAlign w:val="baseline"/>
                <w:lang w:val="en-US" w:eastAsia="zh-CN"/>
              </w:rPr>
              <w:t>负责</w:t>
            </w:r>
            <w:r>
              <w:rPr>
                <w:rFonts w:hint="default" w:ascii="宋体" w:hAnsi="宋体" w:cs="宋体"/>
                <w:color w:val="auto"/>
                <w:sz w:val="24"/>
                <w:highlight w:val="none"/>
                <w:vertAlign w:val="baseline"/>
                <w:lang w:val="en-US" w:eastAsia="zh-CN"/>
              </w:rPr>
              <w:t>派专业技术人员对采购单位技术人员进行操作、维修、保养等技术指导及7×24小时技术支持服务。</w:t>
            </w:r>
          </w:p>
          <w:p w14:paraId="1AA32EFB">
            <w:pPr>
              <w:spacing w:after="0" w:line="320" w:lineRule="exact"/>
              <w:rPr>
                <w:rFonts w:hint="default" w:ascii="宋体" w:hAnsi="宋体" w:cs="宋体"/>
                <w:color w:val="auto"/>
                <w:sz w:val="24"/>
                <w:highlight w:val="none"/>
                <w:vertAlign w:val="baseline"/>
                <w:lang w:val="en-US" w:eastAsia="zh-CN"/>
              </w:rPr>
            </w:pPr>
            <w:r>
              <w:rPr>
                <w:rFonts w:hint="default" w:ascii="宋体" w:hAnsi="宋体" w:cs="宋体"/>
                <w:color w:val="auto"/>
                <w:sz w:val="24"/>
                <w:highlight w:val="none"/>
                <w:vertAlign w:val="baseline"/>
                <w:lang w:val="en-US" w:eastAsia="zh-CN"/>
              </w:rPr>
              <w:t>(</w:t>
            </w:r>
            <w:r>
              <w:rPr>
                <w:rFonts w:hint="eastAsia" w:ascii="宋体" w:hAnsi="宋体" w:cs="宋体"/>
                <w:color w:val="auto"/>
                <w:sz w:val="24"/>
                <w:highlight w:val="none"/>
                <w:vertAlign w:val="baseline"/>
                <w:lang w:val="en-US" w:eastAsia="zh-CN"/>
              </w:rPr>
              <w:t>4</w:t>
            </w:r>
            <w:r>
              <w:rPr>
                <w:rFonts w:hint="default" w:ascii="宋体" w:hAnsi="宋体" w:cs="宋体"/>
                <w:color w:val="auto"/>
                <w:sz w:val="24"/>
                <w:highlight w:val="none"/>
                <w:vertAlign w:val="baseline"/>
                <w:lang w:val="en-US" w:eastAsia="zh-CN"/>
              </w:rPr>
              <w:t>)技术支持：包括即时回答提出的问题，排除</w:t>
            </w:r>
            <w:r>
              <w:rPr>
                <w:rFonts w:hint="eastAsia" w:ascii="宋体" w:hAnsi="宋体" w:cs="宋体"/>
                <w:color w:val="auto"/>
                <w:sz w:val="24"/>
                <w:highlight w:val="none"/>
                <w:vertAlign w:val="baseline"/>
                <w:lang w:val="en-US" w:eastAsia="zh-CN"/>
              </w:rPr>
              <w:t>采购人</w:t>
            </w:r>
            <w:r>
              <w:rPr>
                <w:rFonts w:hint="default" w:ascii="宋体" w:hAnsi="宋体" w:cs="宋体"/>
                <w:color w:val="auto"/>
                <w:sz w:val="24"/>
                <w:highlight w:val="none"/>
                <w:vertAlign w:val="baseline"/>
                <w:lang w:val="en-US" w:eastAsia="zh-CN"/>
              </w:rPr>
              <w:t>的软、硬件故障，定期回访以及对设备检修，</w:t>
            </w:r>
            <w:r>
              <w:rPr>
                <w:rFonts w:hint="default" w:ascii="宋体" w:hAnsi="宋体" w:cs="宋体"/>
                <w:color w:val="auto"/>
                <w:sz w:val="24"/>
                <w:highlight w:val="none"/>
                <w:vertAlign w:val="baseline"/>
                <w:lang w:val="en-US" w:eastAsia="zh-CN"/>
              </w:rPr>
              <w:t>提供</w:t>
            </w:r>
            <w:r>
              <w:rPr>
                <w:rFonts w:hint="eastAsia" w:ascii="宋体" w:hAnsi="宋体" w:cs="宋体"/>
                <w:color w:val="auto"/>
                <w:sz w:val="24"/>
                <w:highlight w:val="none"/>
                <w:vertAlign w:val="baseline"/>
                <w:lang w:val="en-US" w:eastAsia="zh-CN"/>
              </w:rPr>
              <w:t>合同期内</w:t>
            </w:r>
            <w:r>
              <w:rPr>
                <w:rFonts w:hint="default" w:ascii="宋体" w:hAnsi="宋体" w:cs="宋体"/>
                <w:color w:val="auto"/>
                <w:sz w:val="24"/>
                <w:highlight w:val="none"/>
                <w:vertAlign w:val="baseline"/>
                <w:lang w:val="en-US" w:eastAsia="zh-CN"/>
              </w:rPr>
              <w:t>维护等。</w:t>
            </w:r>
          </w:p>
          <w:p w14:paraId="0760EA25">
            <w:pPr>
              <w:spacing w:after="0" w:line="320" w:lineRule="exact"/>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（5）</w:t>
            </w:r>
            <w:r>
              <w:rPr>
                <w:rFonts w:hint="default" w:ascii="宋体" w:hAnsi="宋体" w:cs="宋体"/>
                <w:color w:val="auto"/>
                <w:sz w:val="24"/>
                <w:highlight w:val="none"/>
                <w:vertAlign w:val="baseline"/>
                <w:lang w:val="en-US" w:eastAsia="zh-CN"/>
              </w:rPr>
              <w:t>268套一键报警前端设备与268路高清监控摄像头的整体设备在线率不低于93%</w:t>
            </w:r>
            <w:r>
              <w:rPr>
                <w:rFonts w:hint="eastAsia" w:ascii="宋体" w:hAnsi="宋体" w:cs="宋体"/>
                <w:color w:val="auto"/>
                <w:sz w:val="24"/>
                <w:highlight w:val="none"/>
                <w:vertAlign w:val="baseline"/>
                <w:lang w:val="en-US" w:eastAsia="zh-CN"/>
              </w:rPr>
              <w:t>。</w:t>
            </w:r>
          </w:p>
          <w:p w14:paraId="1D979AD2">
            <w:pPr>
              <w:spacing w:after="0" w:line="320" w:lineRule="exact"/>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6）采购需求中1-4项内容所涉及货物，属于为实现项目目标所必须的配套货物，运维服务期间，维护、更换责任归属成交供应商，运维服务期满后，此部分货物产权归属采购人，需在运维服务期满后办理交接手续，配合采购人执行资产入库，交接手续完成后，维护、更换责任同步移交采购人。</w:t>
            </w:r>
          </w:p>
          <w:p w14:paraId="2E67B685">
            <w:pPr>
              <w:spacing w:after="0" w:line="320" w:lineRule="exact"/>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（7）运维期间设备更换要求：采购需求/响应承诺中关于各项功能的承诺，设备已经无法满足时，应由成交供应商负责维修/更换。</w:t>
            </w:r>
          </w:p>
          <w:p w14:paraId="0DF27DA8">
            <w:pPr>
              <w:spacing w:after="0" w:line="320" w:lineRule="exact"/>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8）网络安全要求：此项目运维过程中所产生的信息数据直接挂钩各学校安全情况，竞标供应商在响应文件中必须单独提供承诺函，承诺在运维过程中对于上述信息的保密，不得主动窥探项目信息，并在成交后与采购单位签订保密协议。</w:t>
            </w:r>
          </w:p>
          <w:p w14:paraId="284442D7">
            <w:pPr>
              <w:pStyle w:val="2"/>
              <w:spacing w:line="240" w:lineRule="auto"/>
              <w:ind w:left="0" w:leftChars="0" w:firstLine="0" w:firstLineChars="0"/>
              <w:rPr>
                <w:rFonts w:hint="default"/>
                <w:color w:val="auto"/>
                <w:highlight w:val="none"/>
                <w:lang w:val="en-US" w:eastAsia="zh-CN"/>
              </w:rPr>
            </w:pPr>
            <w:r>
              <w:rPr>
                <w:rFonts w:hint="eastAsia" w:ascii="宋体" w:hAnsi="宋体" w:cs="宋体"/>
                <w:color w:val="auto"/>
                <w:sz w:val="24"/>
                <w:highlight w:val="none"/>
                <w:vertAlign w:val="baseline"/>
                <w:lang w:val="en-US" w:eastAsia="zh-CN"/>
              </w:rPr>
              <w:t>（9）定期巡查要求：成交供应商对于一键报警系统的运营情况稳定性巡查，不得少于每周一次，并建立记录台账。</w:t>
            </w:r>
          </w:p>
        </w:tc>
      </w:tr>
      <w:tr w14:paraId="3F848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4" w:type="dxa"/>
            <w:noWrap w:val="0"/>
            <w:vAlign w:val="center"/>
          </w:tcPr>
          <w:p w14:paraId="6FD551E4">
            <w:pPr>
              <w:spacing w:after="0" w:line="320" w:lineRule="exact"/>
              <w:jc w:val="center"/>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5</w:t>
            </w:r>
          </w:p>
        </w:tc>
        <w:tc>
          <w:tcPr>
            <w:tcW w:w="7643" w:type="dxa"/>
            <w:noWrap w:val="0"/>
          </w:tcPr>
          <w:p w14:paraId="5F786CA8">
            <w:pPr>
              <w:spacing w:after="0" w:line="320" w:lineRule="exact"/>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交付使用时间：合同签订后，客户发起项目进场通知书之日起15个工作日内交货并安装调试完毕。</w:t>
            </w:r>
          </w:p>
        </w:tc>
      </w:tr>
      <w:tr w14:paraId="6D45D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4" w:type="dxa"/>
            <w:noWrap w:val="0"/>
            <w:vAlign w:val="center"/>
          </w:tcPr>
          <w:p w14:paraId="05232BFB">
            <w:pPr>
              <w:spacing w:after="0" w:line="320" w:lineRule="exact"/>
              <w:jc w:val="center"/>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6</w:t>
            </w:r>
          </w:p>
        </w:tc>
        <w:tc>
          <w:tcPr>
            <w:tcW w:w="7643" w:type="dxa"/>
            <w:noWrap w:val="0"/>
          </w:tcPr>
          <w:p w14:paraId="31CC0D50">
            <w:pPr>
              <w:spacing w:after="0" w:line="320" w:lineRule="exact"/>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付款条件：合同款分3期，合同期共计24个月，自合同签订之日起开始计算，于第8个月内支付第一笔服务费用，合同总金额的50%，于第16个月内支付第二笔服务费用，合同总金额的20%（即支付至总金额的70%），合同期满支付剩余30%费用(注：每次支付前，成交供应商须向采购人提供付款申请和对应金额的合法专用发票，采购人在收到发票后支付至成交供应商账户。)</w:t>
            </w:r>
          </w:p>
        </w:tc>
      </w:tr>
      <w:tr w14:paraId="0B3ED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4" w:type="dxa"/>
            <w:noWrap w:val="0"/>
            <w:vAlign w:val="center"/>
          </w:tcPr>
          <w:p w14:paraId="0773D599">
            <w:pPr>
              <w:spacing w:after="0" w:line="320" w:lineRule="exact"/>
              <w:jc w:val="center"/>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7</w:t>
            </w:r>
          </w:p>
        </w:tc>
        <w:tc>
          <w:tcPr>
            <w:tcW w:w="7643" w:type="dxa"/>
            <w:noWrap w:val="0"/>
          </w:tcPr>
          <w:p w14:paraId="271278C6">
            <w:pPr>
              <w:spacing w:after="0" w:line="320" w:lineRule="exact"/>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备品备件及耗材等要求：负责合同期内所有备品备件及耗材的更换。</w:t>
            </w:r>
          </w:p>
        </w:tc>
      </w:tr>
      <w:tr w14:paraId="5F61D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4" w:type="dxa"/>
            <w:noWrap w:val="0"/>
            <w:vAlign w:val="center"/>
          </w:tcPr>
          <w:p w14:paraId="1596E807">
            <w:pPr>
              <w:spacing w:after="0" w:line="320" w:lineRule="exact"/>
              <w:jc w:val="center"/>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8</w:t>
            </w:r>
          </w:p>
        </w:tc>
        <w:tc>
          <w:tcPr>
            <w:tcW w:w="7643" w:type="dxa"/>
            <w:noWrap w:val="0"/>
          </w:tcPr>
          <w:p w14:paraId="6650A49C">
            <w:pPr>
              <w:spacing w:after="0" w:line="320" w:lineRule="exact"/>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验收条件及标准：按《合同文本》执行，未尽事宜</w:t>
            </w:r>
            <w:r>
              <w:rPr>
                <w:rFonts w:hint="eastAsia" w:ascii="宋体" w:hAnsi="宋体" w:cs="宋体"/>
                <w:color w:val="auto"/>
                <w:sz w:val="24"/>
                <w:highlight w:val="none"/>
                <w:vertAlign w:val="baseline"/>
                <w:lang w:val="en-US" w:eastAsia="zh-CN"/>
              </w:rPr>
              <w:t>参照</w:t>
            </w:r>
            <w:r>
              <w:rPr>
                <w:rFonts w:hint="eastAsia" w:ascii="宋体" w:hAnsi="宋体" w:cs="宋体"/>
                <w:color w:val="auto"/>
                <w:sz w:val="24"/>
                <w:highlight w:val="none"/>
                <w:vertAlign w:val="baseline"/>
                <w:lang w:val="en-US" w:eastAsia="zh-CN"/>
              </w:rPr>
              <w:t>《财政部关于进一步加强政府采购需求和履约验收管理的指导意见》[财库〔2016〕205号]规定执行。</w:t>
            </w:r>
          </w:p>
        </w:tc>
      </w:tr>
      <w:tr w14:paraId="2F963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4" w:type="dxa"/>
            <w:noWrap w:val="0"/>
            <w:vAlign w:val="center"/>
          </w:tcPr>
          <w:p w14:paraId="2DAFB009">
            <w:pPr>
              <w:spacing w:after="0" w:line="320" w:lineRule="exact"/>
              <w:jc w:val="center"/>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9</w:t>
            </w:r>
          </w:p>
        </w:tc>
        <w:tc>
          <w:tcPr>
            <w:tcW w:w="7643" w:type="dxa"/>
            <w:noWrap w:val="0"/>
          </w:tcPr>
          <w:p w14:paraId="2153819B">
            <w:pPr>
              <w:spacing w:after="0" w:line="320" w:lineRule="exact"/>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验收方法及方案：由采购人组织，依据有关部门规定的相关验收标准和本项目需求及合同条款进行。</w:t>
            </w:r>
          </w:p>
          <w:p w14:paraId="4860BB96">
            <w:pPr>
              <w:spacing w:after="0" w:line="320" w:lineRule="exact"/>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验收标准：</w:t>
            </w:r>
            <w:r>
              <w:rPr>
                <w:rFonts w:hint="eastAsia"/>
                <w:color w:val="auto"/>
                <w:sz w:val="24"/>
                <w:szCs w:val="24"/>
                <w:highlight w:val="none"/>
                <w:lang w:eastAsia="zh-CN"/>
              </w:rPr>
              <w:t>按</w:t>
            </w:r>
            <w:r>
              <w:rPr>
                <w:rFonts w:hint="eastAsia"/>
                <w:color w:val="auto"/>
                <w:sz w:val="24"/>
                <w:szCs w:val="24"/>
                <w:highlight w:val="none"/>
              </w:rPr>
              <w:t>国家标准、行业标准、地方标准或者其他标准、规范执行。</w:t>
            </w:r>
          </w:p>
        </w:tc>
      </w:tr>
      <w:tr w14:paraId="38E94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4" w:type="dxa"/>
            <w:noWrap w:val="0"/>
            <w:vAlign w:val="center"/>
          </w:tcPr>
          <w:p w14:paraId="28EFAD17">
            <w:pPr>
              <w:spacing w:after="0" w:line="320" w:lineRule="exact"/>
              <w:jc w:val="center"/>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10</w:t>
            </w:r>
          </w:p>
        </w:tc>
        <w:tc>
          <w:tcPr>
            <w:tcW w:w="7643" w:type="dxa"/>
            <w:noWrap w:val="0"/>
          </w:tcPr>
          <w:p w14:paraId="0683B27E">
            <w:pPr>
              <w:spacing w:after="0" w:line="320" w:lineRule="exact"/>
              <w:rPr>
                <w:rFonts w:hint="default" w:ascii="宋体" w:hAnsi="宋体" w:cs="宋体"/>
                <w:color w:val="auto"/>
                <w:sz w:val="24"/>
                <w:highlight w:val="none"/>
                <w:vertAlign w:val="baseline"/>
                <w:lang w:val="en-US" w:eastAsia="zh-CN"/>
              </w:rPr>
            </w:pPr>
            <w:r>
              <w:rPr>
                <w:rFonts w:hint="eastAsia" w:ascii="宋体" w:hAnsi="宋体" w:cs="宋体"/>
                <w:b/>
                <w:bCs/>
                <w:color w:val="auto"/>
                <w:sz w:val="24"/>
                <w:highlight w:val="none"/>
                <w:vertAlign w:val="baseline"/>
                <w:lang w:val="en-US" w:eastAsia="zh-CN"/>
              </w:rPr>
              <w:t>供应商须在响应阶段单独出具系统兼容对接承诺函。</w:t>
            </w:r>
            <w:r>
              <w:rPr>
                <w:rFonts w:hint="eastAsia" w:ascii="宋体" w:hAnsi="宋体" w:cs="宋体"/>
                <w:color w:val="auto"/>
                <w:sz w:val="24"/>
                <w:highlight w:val="none"/>
                <w:vertAlign w:val="baseline"/>
                <w:lang w:val="en-US" w:eastAsia="zh-CN"/>
              </w:rPr>
              <w:t>本项目预算总价已包含设备供货、人脸识别监控适配系统接入、一键报警适配网络系统对接、二次开发、联调测试等所有配套费用，采购人不承担任何额外对接、开发及调试相关费用。</w:t>
            </w:r>
          </w:p>
        </w:tc>
      </w:tr>
    </w:tbl>
    <w:p w14:paraId="2CA6EFFA">
      <w:pPr>
        <w:pStyle w:val="217"/>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
          <w:color w:val="auto"/>
          <w:sz w:val="28"/>
          <w:szCs w:val="28"/>
          <w:highlight w:val="none"/>
        </w:rPr>
        <w:t>中小企业划型标准规定</w:t>
      </w:r>
    </w:p>
    <w:p w14:paraId="757CBE75">
      <w:pPr>
        <w:pStyle w:val="217"/>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工信部联企业〔2011〕300号</w:t>
      </w:r>
    </w:p>
    <w:p w14:paraId="7BF00A9F">
      <w:pPr>
        <w:pStyle w:val="217"/>
        <w:rPr>
          <w:rFonts w:hint="eastAsia" w:ascii="宋体" w:hAnsi="宋体" w:eastAsia="宋体" w:cs="宋体"/>
          <w:color w:val="auto"/>
          <w:sz w:val="24"/>
          <w:szCs w:val="21"/>
          <w:highlight w:val="none"/>
        </w:rPr>
      </w:pPr>
    </w:p>
    <w:p w14:paraId="01AD5164">
      <w:pPr>
        <w:pStyle w:val="217"/>
        <w:rPr>
          <w:rFonts w:hint="eastAsia" w:ascii="宋体" w:hAnsi="宋体" w:eastAsia="宋体" w:cs="宋体"/>
          <w:color w:val="auto"/>
          <w:szCs w:val="21"/>
          <w:highlight w:val="none"/>
        </w:rPr>
      </w:pPr>
      <w:r>
        <w:rPr>
          <w:rFonts w:hint="eastAsia" w:ascii="宋体" w:hAnsi="宋体" w:eastAsia="宋体" w:cs="宋体"/>
          <w:color w:val="auto"/>
          <w:szCs w:val="21"/>
          <w:highlight w:val="none"/>
        </w:rPr>
        <w:t>　　一、根据《中华人民共和国中小企业促进法》和《国务院关于进一步促进中小企业发展的若干意见》(国发〔2009〕36号)，制定本规定。</w:t>
      </w:r>
    </w:p>
    <w:p w14:paraId="7FD43376">
      <w:pPr>
        <w:pStyle w:val="217"/>
        <w:rPr>
          <w:rFonts w:hint="eastAsia" w:ascii="宋体" w:hAnsi="宋体" w:eastAsia="宋体" w:cs="宋体"/>
          <w:color w:val="auto"/>
          <w:szCs w:val="21"/>
          <w:highlight w:val="none"/>
        </w:rPr>
      </w:pPr>
      <w:r>
        <w:rPr>
          <w:rFonts w:hint="eastAsia" w:ascii="宋体" w:hAnsi="宋体" w:eastAsia="宋体" w:cs="宋体"/>
          <w:color w:val="auto"/>
          <w:szCs w:val="21"/>
          <w:highlight w:val="none"/>
        </w:rPr>
        <w:t>　　二、中小企业划分为中型、小型、微型三种类型，具体标准根据企业从业人员、营业收入、资产总额等指标，结合行业特点制定。</w:t>
      </w:r>
    </w:p>
    <w:p w14:paraId="16A490CC">
      <w:pPr>
        <w:pStyle w:val="217"/>
        <w:rPr>
          <w:rFonts w:hint="eastAsia" w:ascii="宋体" w:hAnsi="宋体" w:eastAsia="宋体" w:cs="宋体"/>
          <w:color w:val="auto"/>
          <w:szCs w:val="21"/>
          <w:highlight w:val="none"/>
        </w:rPr>
      </w:pPr>
      <w:r>
        <w:rPr>
          <w:rFonts w:hint="eastAsia" w:ascii="宋体" w:hAnsi="宋体" w:eastAsia="宋体" w:cs="宋体"/>
          <w:color w:val="auto"/>
          <w:szCs w:val="21"/>
          <w:highlight w:val="non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5DB8821">
      <w:pPr>
        <w:pStyle w:val="217"/>
        <w:rPr>
          <w:rFonts w:hint="eastAsia" w:ascii="宋体" w:hAnsi="宋体" w:eastAsia="宋体" w:cs="宋体"/>
          <w:color w:val="auto"/>
          <w:szCs w:val="21"/>
          <w:highlight w:val="none"/>
        </w:rPr>
      </w:pPr>
      <w:r>
        <w:rPr>
          <w:rFonts w:hint="eastAsia" w:ascii="宋体" w:hAnsi="宋体" w:eastAsia="宋体" w:cs="宋体"/>
          <w:color w:val="auto"/>
          <w:szCs w:val="21"/>
          <w:highlight w:val="none"/>
        </w:rPr>
        <w:t>　　四、各行业划型标准为：</w:t>
      </w:r>
    </w:p>
    <w:p w14:paraId="47CB8E28">
      <w:pPr>
        <w:pStyle w:val="217"/>
        <w:rPr>
          <w:rFonts w:hint="eastAsia" w:ascii="宋体" w:hAnsi="宋体" w:eastAsia="宋体" w:cs="宋体"/>
          <w:color w:val="auto"/>
          <w:szCs w:val="21"/>
          <w:highlight w:val="none"/>
        </w:rPr>
      </w:pPr>
      <w:r>
        <w:rPr>
          <w:rFonts w:hint="eastAsia" w:ascii="宋体" w:hAnsi="宋体" w:eastAsia="宋体" w:cs="宋体"/>
          <w:color w:val="auto"/>
          <w:szCs w:val="21"/>
          <w:highlight w:val="none"/>
        </w:rPr>
        <w:t>　　（一）农、林、牧、渔业。营业收入20000万元以下的为中小微型企业。其中，营业收入500万元及以上的为中型企业，营业收入50万元及以上的为小型企业，营业收入50万元以下的为微型企业。</w:t>
      </w:r>
    </w:p>
    <w:p w14:paraId="7759FA00">
      <w:pPr>
        <w:pStyle w:val="217"/>
        <w:rPr>
          <w:rFonts w:hint="eastAsia" w:ascii="宋体" w:hAnsi="宋体" w:eastAsia="宋体" w:cs="宋体"/>
          <w:color w:val="auto"/>
          <w:szCs w:val="21"/>
          <w:highlight w:val="none"/>
        </w:rPr>
      </w:pPr>
      <w:r>
        <w:rPr>
          <w:rFonts w:hint="eastAsia" w:ascii="宋体" w:hAnsi="宋体" w:eastAsia="宋体" w:cs="宋体"/>
          <w:color w:val="auto"/>
          <w:szCs w:val="21"/>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EFF532A">
      <w:pPr>
        <w:pStyle w:val="217"/>
        <w:rPr>
          <w:rFonts w:hint="eastAsia" w:ascii="宋体" w:hAnsi="宋体" w:eastAsia="宋体" w:cs="宋体"/>
          <w:color w:val="auto"/>
          <w:szCs w:val="21"/>
          <w:highlight w:val="none"/>
        </w:rPr>
      </w:pPr>
      <w:r>
        <w:rPr>
          <w:rFonts w:hint="eastAsia" w:ascii="宋体" w:hAnsi="宋体" w:eastAsia="宋体" w:cs="宋体"/>
          <w:color w:val="auto"/>
          <w:szCs w:val="21"/>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A19166F">
      <w:pPr>
        <w:pStyle w:val="217"/>
        <w:rPr>
          <w:rFonts w:hint="eastAsia" w:ascii="宋体" w:hAnsi="宋体" w:eastAsia="宋体" w:cs="宋体"/>
          <w:color w:val="auto"/>
          <w:szCs w:val="21"/>
          <w:highlight w:val="none"/>
        </w:rPr>
      </w:pPr>
      <w:r>
        <w:rPr>
          <w:rFonts w:hint="eastAsia" w:ascii="宋体" w:hAnsi="宋体" w:eastAsia="宋体" w:cs="宋体"/>
          <w:color w:val="auto"/>
          <w:szCs w:val="21"/>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B5F79AE">
      <w:pPr>
        <w:pStyle w:val="217"/>
        <w:rPr>
          <w:rFonts w:hint="eastAsia" w:ascii="宋体" w:hAnsi="宋体" w:eastAsia="宋体" w:cs="宋体"/>
          <w:color w:val="auto"/>
          <w:szCs w:val="21"/>
          <w:highlight w:val="none"/>
        </w:rPr>
      </w:pPr>
      <w:r>
        <w:rPr>
          <w:rFonts w:hint="eastAsia" w:ascii="宋体" w:hAnsi="宋体" w:eastAsia="宋体" w:cs="宋体"/>
          <w:color w:val="auto"/>
          <w:szCs w:val="21"/>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3538E7A">
      <w:pPr>
        <w:pStyle w:val="217"/>
        <w:rPr>
          <w:rFonts w:hint="eastAsia" w:ascii="宋体" w:hAnsi="宋体" w:eastAsia="宋体" w:cs="宋体"/>
          <w:color w:val="auto"/>
          <w:szCs w:val="21"/>
          <w:highlight w:val="none"/>
        </w:rPr>
      </w:pPr>
      <w:r>
        <w:rPr>
          <w:rFonts w:hint="eastAsia" w:ascii="宋体" w:hAnsi="宋体" w:eastAsia="宋体" w:cs="宋体"/>
          <w:color w:val="auto"/>
          <w:szCs w:val="21"/>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068E531">
      <w:pPr>
        <w:pStyle w:val="217"/>
        <w:rPr>
          <w:rFonts w:hint="eastAsia" w:ascii="宋体" w:hAnsi="宋体" w:eastAsia="宋体" w:cs="宋体"/>
          <w:color w:val="auto"/>
          <w:szCs w:val="21"/>
          <w:highlight w:val="none"/>
        </w:rPr>
      </w:pPr>
      <w:r>
        <w:rPr>
          <w:rFonts w:hint="eastAsia" w:ascii="宋体" w:hAnsi="宋体" w:eastAsia="宋体" w:cs="宋体"/>
          <w:color w:val="auto"/>
          <w:szCs w:val="21"/>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5CB68EE">
      <w:pPr>
        <w:pStyle w:val="217"/>
        <w:rPr>
          <w:rFonts w:hint="eastAsia" w:ascii="宋体" w:hAnsi="宋体" w:eastAsia="宋体" w:cs="宋体"/>
          <w:color w:val="auto"/>
          <w:szCs w:val="21"/>
          <w:highlight w:val="none"/>
        </w:rPr>
      </w:pPr>
      <w:r>
        <w:rPr>
          <w:rFonts w:hint="eastAsia" w:ascii="宋体" w:hAnsi="宋体" w:eastAsia="宋体" w:cs="宋体"/>
          <w:color w:val="auto"/>
          <w:szCs w:val="21"/>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00629C9">
      <w:pPr>
        <w:pStyle w:val="217"/>
        <w:rPr>
          <w:rFonts w:hint="eastAsia" w:ascii="宋体" w:hAnsi="宋体" w:eastAsia="宋体" w:cs="宋体"/>
          <w:color w:val="auto"/>
          <w:szCs w:val="21"/>
          <w:highlight w:val="none"/>
        </w:rPr>
      </w:pPr>
      <w:r>
        <w:rPr>
          <w:rFonts w:hint="eastAsia" w:ascii="宋体" w:hAnsi="宋体" w:eastAsia="宋体" w:cs="宋体"/>
          <w:color w:val="auto"/>
          <w:szCs w:val="21"/>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C6433F1">
      <w:pPr>
        <w:pStyle w:val="217"/>
        <w:rPr>
          <w:rFonts w:hint="eastAsia" w:ascii="宋体" w:hAnsi="宋体" w:eastAsia="宋体" w:cs="宋体"/>
          <w:color w:val="auto"/>
          <w:szCs w:val="21"/>
          <w:highlight w:val="none"/>
        </w:rPr>
      </w:pPr>
      <w:r>
        <w:rPr>
          <w:rFonts w:hint="eastAsia" w:ascii="宋体" w:hAnsi="宋体" w:eastAsia="宋体" w:cs="宋体"/>
          <w:color w:val="auto"/>
          <w:szCs w:val="21"/>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622D38C">
      <w:pPr>
        <w:pStyle w:val="217"/>
        <w:rPr>
          <w:rFonts w:hint="eastAsia" w:ascii="宋体" w:hAnsi="宋体" w:eastAsia="宋体" w:cs="宋体"/>
          <w:color w:val="auto"/>
          <w:szCs w:val="21"/>
          <w:highlight w:val="none"/>
        </w:rPr>
      </w:pPr>
      <w:r>
        <w:rPr>
          <w:rFonts w:hint="eastAsia" w:ascii="宋体" w:hAnsi="宋体" w:eastAsia="宋体" w:cs="宋体"/>
          <w:color w:val="auto"/>
          <w:szCs w:val="21"/>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265FB07">
      <w:pPr>
        <w:pStyle w:val="217"/>
        <w:rPr>
          <w:rFonts w:hint="eastAsia" w:ascii="宋体" w:hAnsi="宋体" w:eastAsia="宋体" w:cs="宋体"/>
          <w:color w:val="auto"/>
          <w:szCs w:val="21"/>
          <w:highlight w:val="none"/>
        </w:rPr>
      </w:pPr>
      <w:r>
        <w:rPr>
          <w:rFonts w:hint="eastAsia" w:ascii="宋体" w:hAnsi="宋体" w:eastAsia="宋体" w:cs="宋体"/>
          <w:color w:val="auto"/>
          <w:szCs w:val="21"/>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5D9A6E1">
      <w:pPr>
        <w:pStyle w:val="217"/>
        <w:rPr>
          <w:rFonts w:hint="eastAsia" w:ascii="宋体" w:hAnsi="宋体" w:eastAsia="宋体" w:cs="宋体"/>
          <w:color w:val="auto"/>
          <w:szCs w:val="21"/>
          <w:highlight w:val="none"/>
        </w:rPr>
      </w:pPr>
      <w:r>
        <w:rPr>
          <w:rFonts w:hint="eastAsia" w:ascii="宋体" w:hAnsi="宋体" w:eastAsia="宋体" w:cs="宋体"/>
          <w:color w:val="auto"/>
          <w:szCs w:val="21"/>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20C0EF7">
      <w:pPr>
        <w:pStyle w:val="217"/>
        <w:rPr>
          <w:rFonts w:hint="eastAsia" w:ascii="宋体" w:hAnsi="宋体" w:eastAsia="宋体" w:cs="宋体"/>
          <w:color w:val="auto"/>
          <w:szCs w:val="21"/>
          <w:highlight w:val="none"/>
        </w:rPr>
      </w:pPr>
      <w:r>
        <w:rPr>
          <w:rFonts w:hint="eastAsia" w:ascii="宋体" w:hAnsi="宋体" w:eastAsia="宋体" w:cs="宋体"/>
          <w:color w:val="auto"/>
          <w:szCs w:val="21"/>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36AB3E4">
      <w:pPr>
        <w:pStyle w:val="217"/>
        <w:rPr>
          <w:rFonts w:hint="eastAsia" w:ascii="宋体" w:hAnsi="宋体" w:eastAsia="宋体" w:cs="宋体"/>
          <w:color w:val="auto"/>
          <w:szCs w:val="21"/>
          <w:highlight w:val="none"/>
        </w:rPr>
      </w:pPr>
      <w:r>
        <w:rPr>
          <w:rFonts w:hint="eastAsia" w:ascii="宋体" w:hAnsi="宋体" w:eastAsia="宋体" w:cs="宋体"/>
          <w:color w:val="auto"/>
          <w:szCs w:val="21"/>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5CFA71B">
      <w:pPr>
        <w:pStyle w:val="217"/>
        <w:rPr>
          <w:rFonts w:hint="eastAsia" w:ascii="宋体" w:hAnsi="宋体" w:eastAsia="宋体" w:cs="宋体"/>
          <w:color w:val="auto"/>
          <w:szCs w:val="21"/>
          <w:highlight w:val="none"/>
        </w:rPr>
      </w:pPr>
      <w:r>
        <w:rPr>
          <w:rFonts w:hint="eastAsia" w:ascii="宋体" w:hAnsi="宋体" w:eastAsia="宋体" w:cs="宋体"/>
          <w:color w:val="auto"/>
          <w:szCs w:val="21"/>
          <w:highlight w:val="none"/>
        </w:rPr>
        <w:t>　　（十六）其他未列明行业。从业人员300人以下的为中小微型企业。其中，从业人员100人及以上的为中型企业；从业人员10人及以上的为小型企业；从业人员10人以下的为微型企业。</w:t>
      </w:r>
    </w:p>
    <w:p w14:paraId="28DABB9D">
      <w:pPr>
        <w:pStyle w:val="217"/>
        <w:rPr>
          <w:rFonts w:hint="eastAsia" w:ascii="宋体" w:hAnsi="宋体" w:eastAsia="宋体" w:cs="宋体"/>
          <w:color w:val="auto"/>
          <w:szCs w:val="21"/>
          <w:highlight w:val="none"/>
        </w:rPr>
      </w:pPr>
      <w:r>
        <w:rPr>
          <w:rFonts w:hint="eastAsia" w:ascii="宋体" w:hAnsi="宋体" w:eastAsia="宋体" w:cs="宋体"/>
          <w:color w:val="auto"/>
          <w:szCs w:val="21"/>
          <w:highlight w:val="none"/>
        </w:rPr>
        <w:t>　　五、企业类型的划分以统计部门的统计数据为依据。</w:t>
      </w:r>
    </w:p>
    <w:p w14:paraId="6D5C2C7B">
      <w:pPr>
        <w:pStyle w:val="217"/>
        <w:rPr>
          <w:rFonts w:hint="eastAsia" w:ascii="宋体" w:hAnsi="宋体" w:eastAsia="宋体" w:cs="宋体"/>
          <w:color w:val="auto"/>
          <w:szCs w:val="21"/>
          <w:highlight w:val="none"/>
        </w:rPr>
      </w:pPr>
      <w:r>
        <w:rPr>
          <w:rFonts w:hint="eastAsia" w:ascii="宋体" w:hAnsi="宋体" w:eastAsia="宋体" w:cs="宋体"/>
          <w:color w:val="auto"/>
          <w:szCs w:val="21"/>
          <w:highlight w:val="none"/>
        </w:rPr>
        <w:t>　　六、本规定适用于在中华人民共和国境内依法设立的各类所有制和各种组织形式的企业。个体工商户和本规定以外的行业，参照本规定进行划型。</w:t>
      </w:r>
    </w:p>
    <w:p w14:paraId="0B5AB3B9">
      <w:pPr>
        <w:pStyle w:val="217"/>
        <w:rPr>
          <w:rFonts w:hint="eastAsia" w:ascii="宋体" w:hAnsi="宋体" w:eastAsia="宋体" w:cs="宋体"/>
          <w:color w:val="auto"/>
          <w:szCs w:val="21"/>
          <w:highlight w:val="none"/>
        </w:rPr>
      </w:pPr>
      <w:r>
        <w:rPr>
          <w:rFonts w:hint="eastAsia" w:ascii="宋体" w:hAnsi="宋体" w:eastAsia="宋体" w:cs="宋体"/>
          <w:color w:val="auto"/>
          <w:szCs w:val="21"/>
          <w:highlight w:val="none"/>
        </w:rPr>
        <w:t>　　七、本规定的中型企业标准上限即为大型企业标准的下限，国家统计部门据此制定大中小微型企业的统计分类。国务院有关部门据此进行相关数据分析，不得制定与本规定不一致的企业划型标准。</w:t>
      </w:r>
    </w:p>
    <w:p w14:paraId="0913A94D">
      <w:pPr>
        <w:pStyle w:val="217"/>
        <w:rPr>
          <w:rFonts w:hint="eastAsia" w:ascii="宋体" w:hAnsi="宋体" w:eastAsia="宋体" w:cs="宋体"/>
          <w:color w:val="auto"/>
          <w:szCs w:val="21"/>
          <w:highlight w:val="none"/>
        </w:rPr>
      </w:pPr>
      <w:r>
        <w:rPr>
          <w:rFonts w:hint="eastAsia" w:ascii="宋体" w:hAnsi="宋体" w:eastAsia="宋体" w:cs="宋体"/>
          <w:color w:val="auto"/>
          <w:szCs w:val="21"/>
          <w:highlight w:val="none"/>
        </w:rPr>
        <w:t>　　八、本规定由工业和信息化部、国家统计局会同有关部门根据《国民经济行业分类》修订情况和企业发展变化情况适时修订。</w:t>
      </w:r>
    </w:p>
    <w:p w14:paraId="70C28396">
      <w:pPr>
        <w:pStyle w:val="217"/>
        <w:rPr>
          <w:rFonts w:hint="eastAsia" w:ascii="宋体" w:hAnsi="宋体" w:eastAsia="宋体" w:cs="宋体"/>
          <w:color w:val="auto"/>
          <w:szCs w:val="21"/>
          <w:highlight w:val="none"/>
        </w:rPr>
      </w:pPr>
      <w:r>
        <w:rPr>
          <w:rFonts w:hint="eastAsia" w:ascii="宋体" w:hAnsi="宋体" w:eastAsia="宋体" w:cs="宋体"/>
          <w:color w:val="auto"/>
          <w:szCs w:val="21"/>
          <w:highlight w:val="none"/>
        </w:rPr>
        <w:t>　　九、本规定由工业和信息化部、国家统计局会同有关部门负责解释。</w:t>
      </w:r>
    </w:p>
    <w:p w14:paraId="7E379662">
      <w:pPr>
        <w:tabs>
          <w:tab w:val="left" w:pos="180"/>
          <w:tab w:val="left" w:pos="1620"/>
        </w:tabs>
        <w:spacing w:line="360" w:lineRule="auto"/>
        <w:ind w:firstLine="420"/>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十、本规定自发布之日起执行，原国家经贸委、原国家计委、财政部和国家统计局2003年颁布的《中小企业标准暂行规定》同时废止。</w:t>
      </w:r>
    </w:p>
    <w:p w14:paraId="7F517678">
      <w:pPr>
        <w:pStyle w:val="199"/>
        <w:jc w:val="center"/>
        <w:rPr>
          <w:rFonts w:hint="eastAsia" w:ascii="宋体" w:hAnsi="宋体" w:eastAsia="宋体" w:cs="宋体"/>
          <w:color w:val="auto"/>
          <w:highlight w:val="none"/>
        </w:rPr>
      </w:pPr>
      <w:r>
        <w:rPr>
          <w:rFonts w:hint="eastAsia" w:ascii="宋体" w:hAnsi="宋体" w:eastAsia="宋体" w:cs="宋体"/>
          <w:b/>
          <w:bCs/>
          <w:color w:val="auto"/>
          <w:sz w:val="21"/>
          <w:szCs w:val="21"/>
          <w:highlight w:val="none"/>
        </w:rPr>
        <w:br w:type="page" w:clear="all"/>
      </w:r>
      <w:bookmarkStart w:id="67" w:name="_Toc21472"/>
      <w:r>
        <w:rPr>
          <w:rFonts w:hint="eastAsia" w:ascii="宋体" w:hAnsi="宋体" w:eastAsia="宋体" w:cs="宋体"/>
          <w:color w:val="auto"/>
          <w:highlight w:val="none"/>
        </w:rPr>
        <w:t>第四章  评审程序、评审方法和评审标准</w:t>
      </w:r>
      <w:bookmarkEnd w:id="67"/>
    </w:p>
    <w:p w14:paraId="3F9C3FEB">
      <w:pPr>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一、评审程序和评审方法</w:t>
      </w:r>
    </w:p>
    <w:p w14:paraId="3439502E">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1.资格审查</w:t>
      </w:r>
    </w:p>
    <w:p w14:paraId="71E0A302">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1.1响应文件开启后，磋商小组依法对供应商的资格证明文件进行审查。</w:t>
      </w:r>
    </w:p>
    <w:p w14:paraId="672FEB71">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w:t>
      </w:r>
      <w:r>
        <w:rPr>
          <w:rFonts w:hint="eastAsia" w:ascii="宋体" w:hAnsi="宋体" w:eastAsia="宋体" w:cs="宋体"/>
          <w:color w:val="auto"/>
          <w:highlight w:val="none"/>
        </w:rPr>
        <w:t>磋商小组</w:t>
      </w:r>
      <w:r>
        <w:rPr>
          <w:rFonts w:hint="eastAsia" w:ascii="宋体" w:hAnsi="宋体" w:eastAsia="宋体" w:cs="宋体"/>
          <w:color w:val="auto"/>
          <w:szCs w:val="21"/>
          <w:highlight w:val="none"/>
        </w:rPr>
        <w:t>在资格审查结束前，对供应商进行信用查询。</w:t>
      </w:r>
    </w:p>
    <w:p w14:paraId="206AA3B6">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（1）查询渠道：“信用中国”网站(www.creditchina.gov.cn)、中国政府采购网(www.ccgp.gov.cn)链接入口。</w:t>
      </w:r>
    </w:p>
    <w:p w14:paraId="67BDA1DC">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（2）信用查询截止时点：资格审查结束前。</w:t>
      </w:r>
    </w:p>
    <w:p w14:paraId="0C96DBE8">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（3）查询记录和证据留存方式：在查询网站中直接查询，截图另存为电子文档作为评审资料保存。</w:t>
      </w:r>
    </w:p>
    <w:p w14:paraId="39C55B1A">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（4）信用信息使用规则：对在“信用中国”网站（www.creditchina.gov.cn） 、中国政府采购网（www.ccgp.gov.cn）被列入失信被执行人、重大税收违法失信主体、政府采购严重违法失信行为记录名单及其他不符合《中华人民共和国政府采购法》第二十二条规定条件的供应商，资格审查不通过，不得参与采购活动。两个以上的自然人、法人或者其他组织组成一个联合体，以一个供应商的身份共同参加采购活动的，应当对所有联合体成员进行信用记录查询，联合体成员存在不良信用记录（被列入失信被执行人、重大税收违法失信主体、政府采购严重违法失信行为记录名单及其他不符合《中华人民共和国政府采购法》第二十二条规定条件的供应商）的，视同联合体存在不良信用记录。</w:t>
      </w:r>
    </w:p>
    <w:p w14:paraId="6926E060">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1.2资格审查标准为本磋商文件中载明对供应商资格要求的条件。资格审查采用合格制，凡符合磋商文件规定的供应商资格要求的响应文件均通过资格审查。</w:t>
      </w:r>
    </w:p>
    <w:p w14:paraId="58AD0925">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1.3供应商有下列情形之一的，资格审查不通过，其响应文件按无效响应处理：</w:t>
      </w:r>
    </w:p>
    <w:p w14:paraId="73EB600F">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（1）不具备磋商文件中规定的资格要求的；</w:t>
      </w:r>
    </w:p>
    <w:p w14:paraId="0A53ECD4">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（2）未按磋商文件规定的方式获取本磋商文件的供应商；</w:t>
      </w:r>
    </w:p>
    <w:p w14:paraId="3315B767">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（3）响应文件的资格证明文件缺少任一项“供应商须知前附表”资格证明文件规定的“必须提供”的文件资料的；</w:t>
      </w:r>
    </w:p>
    <w:p w14:paraId="5456BD40">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（4）响应文件中的资格证明文件出现任一项不符合“供应商须知前附表”资格证明文件规定的“必须提供”的文件资料要求或者无效的；</w:t>
      </w:r>
    </w:p>
    <w:p w14:paraId="7B183EC5">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（5）同一合同项下的不同供应商，单位负责人为同一人或者存在直接控股、管理关系的；为本项目提供过整体设计、规范编制或者项目管理、监理、检测等服务的供应商，再参加该采购项目的其他采购活动的。</w:t>
      </w:r>
    </w:p>
    <w:p w14:paraId="2D0BBFA1">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1.4通过资格审查的合格供应商不足3家的，不得进入符合性审查环节，采购人或者采购代理机构应当重新开展采购活动。</w:t>
      </w:r>
    </w:p>
    <w:p w14:paraId="7B529756">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2.符合性审查</w:t>
      </w:r>
    </w:p>
    <w:p w14:paraId="62301B16">
      <w:pPr>
        <w:spacing w:line="360" w:lineRule="auto"/>
        <w:ind w:firstLine="420"/>
        <w:rPr>
          <w:rFonts w:hint="eastAsia" w:ascii="宋体" w:hAnsi="宋体" w:eastAsia="宋体" w:cs="宋体"/>
          <w:color w:val="auto"/>
          <w:szCs w:val="21"/>
          <w:highlight w:val="none"/>
        </w:rPr>
      </w:pPr>
      <w:bookmarkStart w:id="68" w:name="_Hlk42528882"/>
      <w:r>
        <w:rPr>
          <w:rFonts w:hint="eastAsia" w:ascii="宋体" w:hAnsi="宋体" w:eastAsia="宋体" w:cs="宋体"/>
          <w:color w:val="auto"/>
          <w:szCs w:val="21"/>
          <w:highlight w:val="none"/>
        </w:rPr>
        <w:t>2.1由磋商小组对通过资格审查的合格供应商的响应文件的竞标报价、商务、技术等实质性要求进行符合性审查，以确定其是否满足磋商文件的实质性要求。</w:t>
      </w:r>
      <w:bookmarkEnd w:id="68"/>
    </w:p>
    <w:p w14:paraId="0A95795C">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磋商小组在对响应文件进行符合性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5ED0D4A">
      <w:pPr>
        <w:spacing w:line="360" w:lineRule="auto"/>
        <w:ind w:firstLine="420"/>
        <w:rPr>
          <w:rFonts w:hint="eastAsia" w:ascii="宋体" w:hAnsi="宋体" w:eastAsia="宋体" w:cs="宋体"/>
          <w:color w:val="auto"/>
          <w:spacing w:val="-6"/>
          <w:szCs w:val="21"/>
          <w:highlight w:val="none"/>
        </w:rPr>
      </w:pPr>
      <w:r>
        <w:rPr>
          <w:rFonts w:hint="eastAsia" w:ascii="宋体" w:hAnsi="宋体" w:eastAsia="宋体" w:cs="宋体"/>
          <w:color w:val="auto"/>
          <w:szCs w:val="21"/>
          <w:highlight w:val="none"/>
        </w:rPr>
        <w:t>2.3磋商小组要求供应商澄清、说明或者更正响应文件应当以澄清函</w:t>
      </w:r>
      <w:r>
        <w:rPr>
          <w:rFonts w:hint="eastAsia" w:ascii="宋体" w:hAnsi="宋体" w:eastAsia="宋体" w:cs="宋体"/>
          <w:color w:val="auto"/>
          <w:szCs w:val="21"/>
          <w:highlight w:val="none"/>
          <w:lang w:val="en-US" w:eastAsia="zh-CN"/>
        </w:rPr>
        <w:t>书面</w:t>
      </w:r>
      <w:r>
        <w:rPr>
          <w:rFonts w:hint="eastAsia" w:ascii="宋体" w:hAnsi="宋体" w:eastAsia="宋体" w:cs="宋体"/>
          <w:color w:val="auto"/>
          <w:szCs w:val="21"/>
          <w:highlight w:val="none"/>
        </w:rPr>
        <w:t>形式作出。供应商的澄清、说明或者更正应当</w:t>
      </w:r>
      <w:r>
        <w:rPr>
          <w:rFonts w:hint="eastAsia" w:ascii="宋体" w:hAnsi="宋体" w:eastAsia="宋体" w:cs="宋体"/>
          <w:color w:val="auto"/>
          <w:szCs w:val="21"/>
          <w:highlight w:val="none"/>
          <w:lang w:val="en-US" w:eastAsia="zh-CN"/>
        </w:rPr>
        <w:t>以</w:t>
      </w:r>
      <w:r>
        <w:rPr>
          <w:rFonts w:hint="eastAsia" w:ascii="宋体" w:hAnsi="宋体" w:eastAsia="宋体" w:cs="宋体"/>
          <w:color w:val="auto"/>
          <w:szCs w:val="21"/>
          <w:highlight w:val="none"/>
        </w:rPr>
        <w:t>回函形式按照磋商小组的要求作出明确的澄清、说明或者更正，未按磋商小组的要求作出明确澄清、说明或者更正的供应商的响应文件将按照有利于采购人的原则由磋商小组进行判定。供应商的澄清、说明或者更正必须加盖公章</w:t>
      </w:r>
      <w:r>
        <w:rPr>
          <w:rFonts w:hint="eastAsia" w:ascii="宋体" w:hAnsi="宋体" w:eastAsia="宋体" w:cs="宋体"/>
          <w:color w:val="auto"/>
          <w:spacing w:val="-6"/>
          <w:szCs w:val="21"/>
          <w:highlight w:val="none"/>
        </w:rPr>
        <w:t>。</w:t>
      </w:r>
    </w:p>
    <w:p w14:paraId="0F761224">
      <w:pPr>
        <w:spacing w:line="360" w:lineRule="auto"/>
        <w:ind w:firstLine="396"/>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2.4</w:t>
      </w:r>
      <w:r>
        <w:rPr>
          <w:rFonts w:hint="eastAsia" w:ascii="宋体" w:hAnsi="宋体" w:eastAsia="宋体" w:cs="宋体"/>
          <w:color w:val="auto"/>
          <w:szCs w:val="21"/>
          <w:highlight w:val="none"/>
        </w:rPr>
        <w:t xml:space="preserve">首次响应文件报价出现前后不一致的，按照下列规定修正： </w:t>
      </w:r>
    </w:p>
    <w:p w14:paraId="2C7D7AA4">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（1）响应文件中报价表内容与响应文件中相应内容不一致的，以报价表为准；</w:t>
      </w:r>
    </w:p>
    <w:p w14:paraId="60CDDE50">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（2）大写金额和小写金额不一致的，以大写金额为准；</w:t>
      </w:r>
    </w:p>
    <w:p w14:paraId="0AAE2A4F">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（3）单价金额小数点或者百分比有明显错位的，以报价表的总价为准，并修改单价；</w:t>
      </w:r>
    </w:p>
    <w:p w14:paraId="6C8ED06D">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（4）总价金额与按单价汇总金额不一致的，以单价金额计算结果为准。</w:t>
      </w:r>
    </w:p>
    <w:p w14:paraId="16149AF0">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同时出现两种以上不一致的，按照以上（1）-（4）规定的顺序逐条进行修正。修正后的报价经供应商确认后产生约束力，供应商不确认的，其响应文件按无效响应处理。</w:t>
      </w:r>
    </w:p>
    <w:p w14:paraId="1032B5DE">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2.5商务技术报价评审</w:t>
      </w:r>
    </w:p>
    <w:p w14:paraId="02CB46A0">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在评审时，如发现下列情形之一的，将被视为响应文件无效处理：</w:t>
      </w:r>
    </w:p>
    <w:p w14:paraId="38F0F616">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（1）商务技术评审</w:t>
      </w:r>
    </w:p>
    <w:p w14:paraId="6F7757E1">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1）响应文件未按磋商文件要求签署、盖章；</w:t>
      </w:r>
    </w:p>
    <w:p w14:paraId="13B5D0F0">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2）委托代理人未能出具有效身份证或者出具的身份证与授权委托书中的信息不符的； </w:t>
      </w:r>
    </w:p>
    <w:p w14:paraId="7AADA494">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3）提交的磋商保证金无效的或者未按照磋商文件的规定提交磋商保证金；</w:t>
      </w:r>
    </w:p>
    <w:p w14:paraId="7EC6B4BA">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4）响应文件未提供任一项“供应商须知前附表”商务技术文件中 “必须提供”或者“委托时必须提供”的文件资料；响应文件提供的商务技术文件出现任一项不符合“供应商须知前附表”商务技术文件中 “必须提供”或者“委托时必须提供”文件资料要求的规定或者提供的商务技术文件无效。</w:t>
      </w:r>
    </w:p>
    <w:p w14:paraId="469B9EF2">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5）商务要求允许负偏离的条款数超过“供应商须知前附表”规定项数的；</w:t>
      </w:r>
    </w:p>
    <w:p w14:paraId="599069A2">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6）未对竞标有效期作出响应或者响应文件承诺的竞标有效期不满足磋商文件要求；</w:t>
      </w:r>
    </w:p>
    <w:p w14:paraId="24AC3AB5">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7）响应文件的实质性内容未使用中文表述、使用计量单位不符合磋商文件要求；</w:t>
      </w:r>
    </w:p>
    <w:p w14:paraId="0AAE947C">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8）响应文件中的文件资料因填写不齐全或者内容虚假或者出现其他情形而导致被磋商小组认定无效；</w:t>
      </w:r>
    </w:p>
    <w:p w14:paraId="20C26A92">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9）响应文件含有采购人不能接受的附加条件；</w:t>
      </w:r>
    </w:p>
    <w:p w14:paraId="7959B414">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10）属于“供应商须知正文”第7.5条情形；</w:t>
      </w:r>
    </w:p>
    <w:p w14:paraId="29520C54">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11）技术要求允许负偏离的条款数超过“供应商须知前附表”规定项数；</w:t>
      </w:r>
    </w:p>
    <w:p w14:paraId="22583115">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12）虚假竞标，或者出现其他情形而导致被磋商小组认定无效；</w:t>
      </w:r>
    </w:p>
    <w:p w14:paraId="7123260C">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w:t>
      </w:r>
      <w:bookmarkStart w:id="69" w:name="_Hlk71704147"/>
      <w:r>
        <w:rPr>
          <w:rFonts w:hint="eastAsia" w:ascii="宋体" w:hAnsi="宋体" w:eastAsia="宋体" w:cs="宋体"/>
          <w:color w:val="auto"/>
          <w:szCs w:val="21"/>
          <w:highlight w:val="none"/>
        </w:rPr>
        <w:t>磋商文件未载明允许提供备选（替代）竞标方案或明确不允许提供备选（替代）竞标方案时，供应商提供了备选（替代）竞标方案的；</w:t>
      </w:r>
      <w:bookmarkEnd w:id="69"/>
    </w:p>
    <w:p w14:paraId="1CB2DECF">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14）响应文件标注的项目名称或者项目编号与磋商文件标注的项目名称或者项目编号不一致的；</w:t>
      </w:r>
    </w:p>
    <w:p w14:paraId="0549F084">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w:t>
      </w:r>
      <w:r>
        <w:rPr>
          <w:rFonts w:hint="eastAsia" w:ascii="宋体" w:hAnsi="宋体" w:eastAsia="宋体" w:cs="宋体"/>
          <w:b/>
          <w:color w:val="auto"/>
          <w:szCs w:val="21"/>
          <w:highlight w:val="none"/>
        </w:rPr>
        <w:t>竞争性磋商文件明确不允许分包，响应文件拟分包的；</w:t>
      </w:r>
    </w:p>
    <w:p w14:paraId="0445CA11">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16）未响应磋商文件实质性要求；</w:t>
      </w:r>
    </w:p>
    <w:p w14:paraId="7E202B3B">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17）法律、法规和磋商文件规定的其他无效情形。</w:t>
      </w:r>
    </w:p>
    <w:p w14:paraId="2D45B3C8">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（2）报价评审</w:t>
      </w:r>
    </w:p>
    <w:p w14:paraId="6AF8F0E7">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 响应文件未提供“供应商须知前附表” 报价文件中规定的“竞标报价表”；</w:t>
      </w:r>
    </w:p>
    <w:p w14:paraId="7BD186AC">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2）未采用人民币报价或者未按照磋商文件标明的币种报价；</w:t>
      </w:r>
    </w:p>
    <w:p w14:paraId="2939E740">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供应商未就所竞标分标进行报价或者存在漏项报价；供应商未就所竞标分标的单项内容作唯一报价；供应商未就所竞标分标的全部内容作完整唯一总价报价；供应商响应文件中存在有选择、有条件报价的（磋商文件允许有备选方案或者其他约定的除外）；</w:t>
      </w:r>
    </w:p>
    <w:p w14:paraId="4E12D370">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4）竞标报价（包含首次报价、最后报价）超过所竞标分标规定的采购预算金额或者最高限价的（如本项目公布了最高限价）；</w:t>
      </w:r>
      <w:bookmarkStart w:id="70" w:name="_Hlk42596405"/>
      <w:r>
        <w:rPr>
          <w:rFonts w:hint="eastAsia" w:ascii="宋体" w:hAnsi="宋体" w:eastAsia="宋体" w:cs="宋体"/>
          <w:color w:val="auto"/>
          <w:szCs w:val="21"/>
          <w:highlight w:val="none"/>
        </w:rPr>
        <w:t>竞标报价（包含首次报价、最后报价）</w:t>
      </w:r>
      <w:bookmarkEnd w:id="70"/>
      <w:bookmarkStart w:id="71" w:name="_Hlk42596276"/>
      <w:r>
        <w:rPr>
          <w:rFonts w:hint="eastAsia" w:ascii="宋体" w:hAnsi="宋体" w:eastAsia="宋体" w:cs="宋体"/>
          <w:color w:val="auto"/>
          <w:szCs w:val="21"/>
          <w:highlight w:val="none"/>
        </w:rPr>
        <w:t>超过磋商文件分项采购预算金额或者最高限价的</w:t>
      </w:r>
      <w:bookmarkEnd w:id="71"/>
      <w:r>
        <w:rPr>
          <w:rFonts w:hint="eastAsia" w:ascii="宋体" w:hAnsi="宋体" w:eastAsia="宋体" w:cs="宋体"/>
          <w:color w:val="auto"/>
          <w:szCs w:val="21"/>
          <w:highlight w:val="none"/>
        </w:rPr>
        <w:t>（如本项目公布了最高限价）；</w:t>
      </w:r>
    </w:p>
    <w:p w14:paraId="7573C2FC">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修正后的报价，供应商不确认的；或者经供应商确认修正后的竞标报价（包含首次报价、最后报价）超过所竞标分标规定的采购预算金额或者最高限价（如本项目公布了最高限价）；或者经供应商确认修正后竞标报价（包含首次报价、最后报价）超过磋商文件分项采购预算金额或者最高限价的（如本项目公布了最高限价）。</w:t>
      </w:r>
    </w:p>
    <w:p w14:paraId="2A07F5AA">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6）响应文件响应的标的数量及单位与</w:t>
      </w:r>
      <w:r>
        <w:rPr>
          <w:rFonts w:hint="eastAsia" w:ascii="宋体" w:hAnsi="宋体" w:eastAsia="宋体" w:cs="宋体"/>
          <w:color w:val="auto"/>
          <w:szCs w:val="21"/>
          <w:highlight w:val="none"/>
        </w:rPr>
        <w:t>竞争性磋商文件</w:t>
      </w:r>
      <w:r>
        <w:rPr>
          <w:rFonts w:hint="eastAsia" w:ascii="宋体" w:hAnsi="宋体" w:eastAsia="宋体" w:cs="宋体"/>
          <w:color w:val="auto"/>
          <w:szCs w:val="21"/>
          <w:highlight w:val="none"/>
        </w:rPr>
        <w:t>要求实质性不一致的。</w:t>
      </w:r>
    </w:p>
    <w:p w14:paraId="321A4006">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磋商小组对响应文件进行评审，未实质性响应磋商文件的响应文件按无效处理，磋商小组应当将资格和符合性不通过的情况告知有关供应商。磋商小组从符合磋商文件规定的相应资格条件的供应商名单中确定不少于3家的供应商参加磋商。</w:t>
      </w:r>
    </w:p>
    <w:p w14:paraId="30DBBCB8">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2.7通过符合性审查的合格供应商不足3家的，不得进入磋商环节，采购人或者采购代理机构应当重新开展采购活动。</w:t>
      </w:r>
    </w:p>
    <w:p w14:paraId="6C12DA90">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3.磋商程序</w:t>
      </w:r>
    </w:p>
    <w:p w14:paraId="53A39429">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磋商小组集中与单一供应商分别进行磋商，并给予所有参加磋商的供应商平等的磋商机会。符合磋商资格的供应商必须在接到磋商通知后规定时间内参加磋商，未在规定时间内参加磋商的视同放弃参加磋商权利，其响应文件按无效响应处理。</w:t>
      </w:r>
    </w:p>
    <w:p w14:paraId="2F140585">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在磋商过程中，磋商小组可以根据磋商文件和磋商情况实质性变动采购需求中的技术、服务要求以及合同草案条款，但不得变动磋商文件中的其他内容。实质性变动的内容，须经采购人代表确认。可能实质性变动的内容为采购需求中的技术、服务要求以及合同草案条款。</w:t>
      </w:r>
    </w:p>
    <w:p w14:paraId="508FA2FA">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3.3对磋商文件作出的实质性变动是磋商文件的有效组成部分，由磋商小组及时以澄清函</w:t>
      </w:r>
      <w:r>
        <w:rPr>
          <w:rFonts w:hint="eastAsia" w:ascii="宋体" w:hAnsi="宋体" w:eastAsia="宋体" w:cs="宋体"/>
          <w:color w:val="auto"/>
          <w:szCs w:val="21"/>
          <w:highlight w:val="none"/>
          <w:lang w:val="en-US" w:eastAsia="zh-CN"/>
        </w:rPr>
        <w:t>书面</w:t>
      </w:r>
      <w:r>
        <w:rPr>
          <w:rFonts w:hint="eastAsia" w:ascii="宋体" w:hAnsi="宋体" w:eastAsia="宋体" w:cs="宋体"/>
          <w:color w:val="auto"/>
          <w:szCs w:val="21"/>
          <w:highlight w:val="none"/>
        </w:rPr>
        <w:t>形式同时通知所有参加磋商的供应商。</w:t>
      </w:r>
    </w:p>
    <w:p w14:paraId="1BB43844">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3.4供应商必须按照磋商文件的变动情况和磋商小组的要求以回函的形式重新提交响应文件，并加盖公章。参加磋商的供应商未在规定时间内重新提交响应文件的，视同退出磋商，</w:t>
      </w:r>
      <w:r>
        <w:rPr>
          <w:rFonts w:hint="eastAsia" w:ascii="宋体" w:hAnsi="宋体" w:eastAsia="宋体" w:cs="宋体"/>
          <w:b/>
          <w:bCs/>
          <w:color w:val="auto"/>
          <w:szCs w:val="21"/>
          <w:highlight w:val="none"/>
        </w:rPr>
        <w:t>其响应文件按无效处理。</w:t>
      </w:r>
    </w:p>
    <w:p w14:paraId="7368CD8F">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3.5磋商中，</w:t>
      </w:r>
      <w:r>
        <w:rPr>
          <w:rFonts w:hint="eastAsia" w:ascii="宋体" w:hAnsi="宋体" w:eastAsia="宋体" w:cs="宋体"/>
          <w:color w:val="auto"/>
          <w:spacing w:val="-6"/>
          <w:szCs w:val="21"/>
          <w:highlight w:val="none"/>
        </w:rPr>
        <w:t>磋商的任何一方不得透露与磋商有关的其他供应商的技术资料、价格和其他信息。</w:t>
      </w:r>
    </w:p>
    <w:p w14:paraId="77B26F0E">
      <w:pPr>
        <w:widowControl/>
        <w:tabs>
          <w:tab w:val="left" w:pos="540"/>
        </w:tabs>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3.6采购代理机构对磋商过程和重要磋商内容进行记录。</w:t>
      </w:r>
    </w:p>
    <w:p w14:paraId="037EB5CB">
      <w:pPr>
        <w:widowControl/>
        <w:tabs>
          <w:tab w:val="left" w:pos="540"/>
        </w:tabs>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3.7参照</w:t>
      </w:r>
      <w:r>
        <w:rPr>
          <w:rFonts w:hint="eastAsia" w:ascii="宋体" w:hAnsi="宋体" w:eastAsia="宋体" w:cs="宋体"/>
          <w:color w:val="auto"/>
          <w:highlight w:val="none"/>
        </w:rPr>
        <w:t>《财政部关于政府采购竞争性磋商采购方式管理暂行办法有关问题的补充通知》（财库〔2015〕124号）的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7978DD58">
      <w:pPr>
        <w:tabs>
          <w:tab w:val="left" w:pos="2835"/>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3.8除</w:t>
      </w:r>
      <w:r>
        <w:rPr>
          <w:rFonts w:hint="eastAsia" w:ascii="宋体" w:hAnsi="宋体" w:eastAsia="宋体" w:cs="宋体"/>
          <w:color w:val="auto"/>
          <w:highlight w:val="none"/>
        </w:rPr>
        <w:t>本章第3.7条情形外，</w:t>
      </w:r>
      <w:r>
        <w:rPr>
          <w:rFonts w:hint="eastAsia" w:ascii="宋体" w:hAnsi="宋体" w:eastAsia="宋体" w:cs="宋体"/>
          <w:color w:val="auto"/>
          <w:szCs w:val="21"/>
          <w:highlight w:val="none"/>
        </w:rPr>
        <w:t>对磋商过程提交的响应文件进行有效性、完整性和响应程度审查，通过审查的合格供应商不足3家的，采购人或者采购代理机构应当重新开展采购活动。</w:t>
      </w:r>
    </w:p>
    <w:p w14:paraId="106CBB29">
      <w:pPr>
        <w:spacing w:line="360" w:lineRule="auto"/>
        <w:ind w:firstLine="482"/>
        <w:rPr>
          <w:rFonts w:hint="eastAsia" w:ascii="宋体" w:hAnsi="宋体" w:eastAsia="宋体" w:cs="宋体"/>
          <w:color w:val="auto"/>
          <w:szCs w:val="21"/>
          <w:highlight w:val="none"/>
        </w:rPr>
      </w:pPr>
      <w:r>
        <w:rPr>
          <w:rFonts w:hint="eastAsia" w:ascii="宋体" w:hAnsi="宋体" w:eastAsia="宋体" w:cs="宋体"/>
          <w:b/>
          <w:bCs/>
          <w:color w:val="auto"/>
          <w:sz w:val="24"/>
          <w:highlight w:val="none"/>
        </w:rPr>
        <w:t>4. 最后报价</w:t>
      </w:r>
    </w:p>
    <w:p w14:paraId="2FF406DC">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磋商文件能够详细列明采购标的的技术、服务要求的，磋商结束后，磋商小组应当要求所有继续参加磋商的供应商在规定时间内提交最后报价，除本章第4.3条外，提交最后报价的供应商不得少于3家，否则必须重新采购。</w:t>
      </w:r>
    </w:p>
    <w:p w14:paraId="4AAA1965">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4.2磋商文件不能详细列明采购标的的技术、服务要求，需经磋商由供应商提供最后设计方案或者解决方案的，磋商结束后，由磋商小组按照少数服从多数的原则投票推荐3家以上供应商的设计方案或者解决方案，并要求其在规定时间内提交最后报价。</w:t>
      </w:r>
    </w:p>
    <w:p w14:paraId="552AA006">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4.3 最后报价是供应商响应文件的有效组成部分。参照符合《政府采购竞争性磋商采购方式管理暂行办法》（财库〔2014〕214号）第三条第四项“市场竞争不充分的科研项目，以及需要扶持的科技成果转化项目”和</w:t>
      </w:r>
      <w:r>
        <w:rPr>
          <w:rFonts w:hint="eastAsia" w:ascii="宋体" w:hAnsi="宋体" w:eastAsia="宋体" w:cs="宋体"/>
          <w:color w:val="auto"/>
          <w:highlight w:val="none"/>
        </w:rPr>
        <w:t>本章第3.7条情形的，</w:t>
      </w:r>
      <w:r>
        <w:rPr>
          <w:rFonts w:hint="eastAsia" w:ascii="宋体" w:hAnsi="宋体" w:eastAsia="宋体" w:cs="宋体"/>
          <w:color w:val="auto"/>
          <w:szCs w:val="21"/>
          <w:highlight w:val="none"/>
        </w:rPr>
        <w:t>提交最后报价的供应商可以为2家。</w:t>
      </w:r>
    </w:p>
    <w:p w14:paraId="5FF10618">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4.4已经提交响应文件的供应商，在提交最后报价之前，可以根据磋商情况退出磋商，退出磋商的供应商的响应文件按无效响应处理。采购人、采购代理机构将退还退出磋商的供应商的保证金。</w:t>
      </w:r>
    </w:p>
    <w:p w14:paraId="746C45C1">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4.5供应商未在规定时间内提交最后报价的，视同退出磋商，</w:t>
      </w:r>
      <w:r>
        <w:rPr>
          <w:rFonts w:hint="eastAsia" w:ascii="宋体" w:hAnsi="宋体" w:eastAsia="宋体" w:cs="宋体"/>
          <w:b/>
          <w:bCs/>
          <w:color w:val="auto"/>
          <w:szCs w:val="21"/>
          <w:highlight w:val="none"/>
        </w:rPr>
        <w:t>其响应文件按无效处理。</w:t>
      </w:r>
    </w:p>
    <w:p w14:paraId="55F766FB">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4.6最后报价统一开启后，磋商小组对最后报价进行有效性、完整性和响应程度的审查。</w:t>
      </w:r>
    </w:p>
    <w:p w14:paraId="21FFD657">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4.7最后报价出现前后不一致的，按照本章第2.4条的规定修正。 </w:t>
      </w:r>
    </w:p>
    <w:p w14:paraId="0338FDB5">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4.8修正后的报价出现下列情形的，按无效响应处理：</w:t>
      </w:r>
    </w:p>
    <w:p w14:paraId="2597E1A7">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（1）供应商不确认的；</w:t>
      </w:r>
    </w:p>
    <w:p w14:paraId="108765C3">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（2）经供应商确认修正后的竞标报价（包含首次报价、最后报价）超过所竞标分标规定的采购预算金额或者最高限价的（如本项目公布了最高限价）；</w:t>
      </w:r>
    </w:p>
    <w:p w14:paraId="144BD4BA">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（3）经供应商确认修正后的竞标报价（包含首次报价、最后报价）超过分项采购预算金额或者最高限价的（如本项目公布了最高限价）。</w:t>
      </w:r>
    </w:p>
    <w:p w14:paraId="62E74DD9">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4.9经供应商确认修正后的最后报价作为评审及签订合同的依据。</w:t>
      </w:r>
    </w:p>
    <w:p w14:paraId="3492D3E5">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4.10供应商出现最后报价按无效响应处理或者响应文件按无效处理时</w:t>
      </w:r>
      <w:r>
        <w:rPr>
          <w:rFonts w:hint="eastAsia" w:ascii="宋体" w:hAnsi="宋体" w:eastAsia="宋体" w:cs="宋体"/>
          <w:color w:val="auto"/>
          <w:sz w:val="22"/>
          <w:szCs w:val="22"/>
          <w:highlight w:val="none"/>
        </w:rPr>
        <w:t>，磋商小组应当告知有关供应商</w:t>
      </w:r>
      <w:r>
        <w:rPr>
          <w:rFonts w:hint="eastAsia" w:ascii="宋体" w:hAnsi="宋体" w:eastAsia="宋体" w:cs="宋体"/>
          <w:color w:val="auto"/>
          <w:szCs w:val="21"/>
          <w:highlight w:val="none"/>
        </w:rPr>
        <w:t>。</w:t>
      </w:r>
    </w:p>
    <w:p w14:paraId="5006DCAD">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4.11最后报价结束后，磋商小组不得再与供应商进行任何形式的商谈。</w:t>
      </w:r>
    </w:p>
    <w:p w14:paraId="34F4A1F3">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5.比较与评价</w:t>
      </w:r>
    </w:p>
    <w:p w14:paraId="3591A336">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5.1评审方法：综合评分法。</w:t>
      </w:r>
    </w:p>
    <w:p w14:paraId="32B094F4">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5.2经磋商确定最终采购需求和提交最后报价的供应商后，由磋商小组采用综合评分法对提交最后报价的供应商的响应文件和最后报价进行综合评分。</w:t>
      </w:r>
    </w:p>
    <w:p w14:paraId="5AC7C298">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5.3评审时，磋商小组各成员应当独立对每个有效响应的文件进行评价、打分，然后汇总每个供应商每项评分因素的得分。</w:t>
      </w:r>
    </w:p>
    <w:p w14:paraId="41A1CD42">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（1）磋商小组按照磋商文件中规定的评审标准计算各供应商的报价得分。项目评审过程中，不得去掉最后报价中的最高报价和最低报价。</w:t>
      </w:r>
    </w:p>
    <w:p w14:paraId="5FE29C14">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（2）各供应商的得分为磋商小组所有成员的有效评分的算术平均数。</w:t>
      </w:r>
    </w:p>
    <w:p w14:paraId="38ADDC1C">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5.4评审价为供应商的最后报价进行政策性扣除后的价格，评审价只是作为评审时使用。最终成交供应商的成交金额等于最后报价（如有修正，以确认修正后的最后报价为准）。</w:t>
      </w:r>
    </w:p>
    <w:p w14:paraId="01676AA5">
      <w:pPr>
        <w:spacing w:line="360" w:lineRule="auto"/>
        <w:ind w:firstLine="424"/>
        <w:jc w:val="left"/>
        <w:rPr>
          <w:rFonts w:ascii="宋体" w:hAnsi="宋体"/>
          <w:color w:val="auto"/>
          <w:spacing w:val="-6"/>
          <w:szCs w:val="21"/>
          <w:highlight w:val="none"/>
        </w:rPr>
      </w:pPr>
      <w:r>
        <w:rPr>
          <w:rFonts w:hint="eastAsia" w:ascii="宋体" w:hAnsi="宋体" w:cs="宋体"/>
          <w:color w:val="auto"/>
          <w:szCs w:val="21"/>
          <w:highlight w:val="none"/>
        </w:rPr>
        <w:t>5.</w:t>
      </w:r>
      <w:r>
        <w:rPr>
          <w:rFonts w:hint="eastAsia" w:ascii="宋体" w:hAnsi="宋体" w:cs="宋体"/>
          <w:color w:val="auto"/>
          <w:szCs w:val="21"/>
          <w:highlight w:val="none"/>
          <w:lang w:val="en-US" w:eastAsia="zh-CN"/>
        </w:rPr>
        <w:t>5</w:t>
      </w:r>
      <w:r>
        <w:rPr>
          <w:rFonts w:hint="eastAsia" w:ascii="宋体" w:hAnsi="宋体"/>
          <w:color w:val="auto"/>
          <w:szCs w:val="21"/>
          <w:highlight w:val="none"/>
        </w:rPr>
        <w:t>异常低价响应审查</w:t>
      </w:r>
    </w:p>
    <w:p w14:paraId="7772FCC0">
      <w:pPr>
        <w:spacing w:line="360" w:lineRule="auto"/>
        <w:ind w:firstLine="420"/>
        <w:rPr>
          <w:rFonts w:ascii="宋体" w:hAnsi="宋体"/>
          <w:color w:val="auto"/>
          <w:szCs w:val="21"/>
          <w:highlight w:val="none"/>
        </w:rPr>
      </w:pPr>
      <w:r>
        <w:rPr>
          <w:rFonts w:hint="eastAsia" w:ascii="宋体" w:hAnsi="宋体"/>
          <w:color w:val="auto"/>
          <w:szCs w:val="21"/>
          <w:highlight w:val="none"/>
        </w:rPr>
        <w:t>（1）磋商小组在评审中发现下列情形之一的，应当启动异常低价响应审查程序：</w:t>
      </w:r>
    </w:p>
    <w:p w14:paraId="11575687">
      <w:pPr>
        <w:spacing w:line="360" w:lineRule="auto"/>
        <w:ind w:firstLine="420"/>
        <w:rPr>
          <w:rFonts w:ascii="宋体" w:hAnsi="宋体"/>
          <w:color w:val="auto"/>
          <w:szCs w:val="21"/>
          <w:highlight w:val="none"/>
        </w:rPr>
      </w:pPr>
      <w:r>
        <w:rPr>
          <w:rFonts w:hint="eastAsia" w:ascii="宋体" w:hAnsi="宋体"/>
          <w:color w:val="auto"/>
          <w:szCs w:val="21"/>
          <w:highlight w:val="none"/>
        </w:rPr>
        <w:t>①</w:t>
      </w:r>
      <w:r>
        <w:rPr>
          <w:rFonts w:hint="eastAsia" w:ascii="宋体" w:hAnsi="宋体"/>
          <w:color w:val="auto"/>
          <w:szCs w:val="21"/>
          <w:highlight w:val="none"/>
        </w:rPr>
        <w:t>响应报价</w:t>
      </w:r>
      <w:r>
        <w:rPr>
          <w:rFonts w:hint="eastAsia" w:ascii="宋体" w:hAnsi="宋体"/>
          <w:color w:val="auto"/>
          <w:szCs w:val="21"/>
          <w:highlight w:val="none"/>
        </w:rPr>
        <w:t>低于全部通过符合性审查供应商</w:t>
      </w:r>
      <w:r>
        <w:rPr>
          <w:rFonts w:hint="eastAsia" w:ascii="宋体" w:hAnsi="宋体"/>
          <w:color w:val="auto"/>
          <w:szCs w:val="21"/>
          <w:highlight w:val="none"/>
        </w:rPr>
        <w:t>响应报价</w:t>
      </w:r>
      <w:r>
        <w:rPr>
          <w:rFonts w:hint="eastAsia" w:ascii="宋体" w:hAnsi="宋体"/>
          <w:color w:val="auto"/>
          <w:szCs w:val="21"/>
          <w:highlight w:val="none"/>
        </w:rPr>
        <w:t>平均值</w:t>
      </w:r>
      <w:r>
        <w:rPr>
          <w:rFonts w:ascii="宋体" w:hAnsi="宋体"/>
          <w:color w:val="auto"/>
          <w:szCs w:val="21"/>
          <w:highlight w:val="none"/>
          <w:u w:val="single"/>
        </w:rPr>
        <w:t xml:space="preserve"> </w:t>
      </w:r>
      <w:r>
        <w:rPr>
          <w:rFonts w:hint="eastAsia" w:ascii="宋体" w:hAnsi="宋体"/>
          <w:color w:val="auto"/>
          <w:szCs w:val="21"/>
          <w:highlight w:val="none"/>
          <w:u w:val="single"/>
        </w:rPr>
        <w:t>65%</w:t>
      </w:r>
      <w:r>
        <w:rPr>
          <w:rFonts w:ascii="宋体" w:hAnsi="宋体"/>
          <w:color w:val="auto"/>
          <w:szCs w:val="21"/>
          <w:highlight w:val="none"/>
          <w:u w:val="single"/>
        </w:rPr>
        <w:t xml:space="preserve"> </w:t>
      </w:r>
      <w:r>
        <w:rPr>
          <w:rFonts w:hint="eastAsia" w:ascii="宋体" w:hAnsi="宋体"/>
          <w:color w:val="auto"/>
          <w:szCs w:val="21"/>
          <w:highlight w:val="none"/>
        </w:rPr>
        <w:t>的，即</w:t>
      </w:r>
      <w:r>
        <w:rPr>
          <w:rFonts w:hint="eastAsia" w:ascii="宋体" w:hAnsi="宋体"/>
          <w:color w:val="auto"/>
          <w:szCs w:val="21"/>
          <w:highlight w:val="none"/>
        </w:rPr>
        <w:t>响应报价</w:t>
      </w:r>
      <w:r>
        <w:rPr>
          <w:rFonts w:hint="eastAsia" w:ascii="宋体" w:hAnsi="宋体"/>
          <w:color w:val="auto"/>
          <w:szCs w:val="21"/>
          <w:highlight w:val="none"/>
        </w:rPr>
        <w:t>＜全部通过符合性审查供应商</w:t>
      </w:r>
      <w:r>
        <w:rPr>
          <w:rFonts w:hint="eastAsia" w:ascii="宋体" w:hAnsi="宋体"/>
          <w:color w:val="auto"/>
          <w:szCs w:val="21"/>
          <w:highlight w:val="none"/>
        </w:rPr>
        <w:t>响应报价</w:t>
      </w:r>
      <w:r>
        <w:rPr>
          <w:rFonts w:hint="eastAsia" w:ascii="宋体" w:hAnsi="宋体"/>
          <w:color w:val="auto"/>
          <w:szCs w:val="21"/>
          <w:highlight w:val="none"/>
        </w:rPr>
        <w:t>平均值×</w:t>
      </w:r>
      <w:r>
        <w:rPr>
          <w:rFonts w:ascii="宋体" w:hAnsi="宋体"/>
          <w:color w:val="auto"/>
          <w:szCs w:val="21"/>
          <w:highlight w:val="none"/>
          <w:u w:val="single"/>
        </w:rPr>
        <w:t xml:space="preserve"> </w:t>
      </w:r>
      <w:r>
        <w:rPr>
          <w:rFonts w:hint="eastAsia" w:ascii="宋体" w:hAnsi="宋体"/>
          <w:color w:val="auto"/>
          <w:szCs w:val="21"/>
          <w:highlight w:val="none"/>
          <w:u w:val="single"/>
        </w:rPr>
        <w:t>65%</w:t>
      </w:r>
      <w:r>
        <w:rPr>
          <w:rFonts w:ascii="宋体" w:hAnsi="宋体"/>
          <w:color w:val="auto"/>
          <w:szCs w:val="21"/>
          <w:highlight w:val="none"/>
          <w:u w:val="single"/>
        </w:rPr>
        <w:t xml:space="preserve"> </w:t>
      </w:r>
      <w:r>
        <w:rPr>
          <w:rFonts w:hint="eastAsia" w:ascii="宋体" w:hAnsi="宋体"/>
          <w:color w:val="auto"/>
          <w:szCs w:val="21"/>
          <w:highlight w:val="none"/>
        </w:rPr>
        <w:t>；</w:t>
      </w:r>
    </w:p>
    <w:p w14:paraId="5E9F32F6">
      <w:pPr>
        <w:spacing w:line="360" w:lineRule="auto"/>
        <w:ind w:firstLine="420"/>
        <w:rPr>
          <w:rFonts w:ascii="宋体" w:hAnsi="宋体"/>
          <w:color w:val="auto"/>
          <w:szCs w:val="21"/>
          <w:highlight w:val="none"/>
        </w:rPr>
      </w:pPr>
      <w:r>
        <w:rPr>
          <w:rFonts w:hint="eastAsia" w:ascii="宋体" w:hAnsi="宋体"/>
          <w:color w:val="auto"/>
          <w:szCs w:val="21"/>
          <w:highlight w:val="none"/>
        </w:rPr>
        <w:t>②</w:t>
      </w:r>
      <w:r>
        <w:rPr>
          <w:rFonts w:hint="eastAsia" w:ascii="宋体" w:hAnsi="宋体"/>
          <w:color w:val="auto"/>
          <w:szCs w:val="21"/>
          <w:highlight w:val="none"/>
        </w:rPr>
        <w:t>响应报价</w:t>
      </w:r>
      <w:r>
        <w:rPr>
          <w:rFonts w:hint="eastAsia" w:ascii="宋体" w:hAnsi="宋体"/>
          <w:color w:val="auto"/>
          <w:szCs w:val="21"/>
          <w:highlight w:val="none"/>
        </w:rPr>
        <w:t>低于通过符合性审查的次低报价供应商</w:t>
      </w:r>
      <w:r>
        <w:rPr>
          <w:rFonts w:hint="eastAsia" w:ascii="宋体" w:hAnsi="宋体"/>
          <w:color w:val="auto"/>
          <w:szCs w:val="21"/>
          <w:highlight w:val="none"/>
        </w:rPr>
        <w:t>响应报价</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65</w:t>
      </w:r>
      <w:r>
        <w:rPr>
          <w:rFonts w:hint="eastAsia" w:ascii="宋体" w:hAnsi="宋体"/>
          <w:color w:val="auto"/>
          <w:szCs w:val="21"/>
          <w:highlight w:val="none"/>
          <w:u w:val="single"/>
        </w:rPr>
        <w:t>%</w:t>
      </w:r>
      <w:r>
        <w:rPr>
          <w:rFonts w:ascii="宋体" w:hAnsi="宋体"/>
          <w:color w:val="auto"/>
          <w:szCs w:val="21"/>
          <w:highlight w:val="none"/>
          <w:u w:val="single"/>
        </w:rPr>
        <w:t xml:space="preserve"> </w:t>
      </w:r>
      <w:r>
        <w:rPr>
          <w:rFonts w:hint="eastAsia" w:ascii="宋体" w:hAnsi="宋体"/>
          <w:color w:val="auto"/>
          <w:szCs w:val="21"/>
          <w:highlight w:val="none"/>
        </w:rPr>
        <w:t>的，即</w:t>
      </w:r>
      <w:r>
        <w:rPr>
          <w:rFonts w:hint="eastAsia" w:ascii="宋体" w:hAnsi="宋体"/>
          <w:color w:val="auto"/>
          <w:szCs w:val="21"/>
          <w:highlight w:val="none"/>
        </w:rPr>
        <w:t>响应报价</w:t>
      </w:r>
      <w:r>
        <w:rPr>
          <w:rFonts w:hint="eastAsia" w:ascii="宋体" w:hAnsi="宋体"/>
          <w:color w:val="auto"/>
          <w:szCs w:val="21"/>
          <w:highlight w:val="none"/>
        </w:rPr>
        <w:t>＜通过符合性审查的次低报价供应商</w:t>
      </w:r>
      <w:r>
        <w:rPr>
          <w:rFonts w:hint="eastAsia" w:ascii="宋体" w:hAnsi="宋体"/>
          <w:color w:val="auto"/>
          <w:szCs w:val="21"/>
          <w:highlight w:val="none"/>
        </w:rPr>
        <w:t>响应报价</w:t>
      </w:r>
      <w:r>
        <w:rPr>
          <w:rFonts w:hint="eastAsia" w:ascii="宋体" w:hAnsi="宋体"/>
          <w:color w:val="auto"/>
          <w:szCs w:val="21"/>
          <w:highlight w:val="none"/>
        </w:rPr>
        <w:t>×</w:t>
      </w:r>
      <w:r>
        <w:rPr>
          <w:rFonts w:ascii="宋体" w:hAnsi="宋体"/>
          <w:color w:val="auto"/>
          <w:szCs w:val="21"/>
          <w:highlight w:val="none"/>
          <w:u w:val="single"/>
        </w:rPr>
        <w:t xml:space="preserve"> </w:t>
      </w:r>
      <w:r>
        <w:rPr>
          <w:rFonts w:hint="eastAsia" w:ascii="宋体" w:hAnsi="宋体"/>
          <w:color w:val="auto"/>
          <w:szCs w:val="21"/>
          <w:highlight w:val="none"/>
          <w:u w:val="single"/>
        </w:rPr>
        <w:t>65%</w:t>
      </w:r>
      <w:r>
        <w:rPr>
          <w:rFonts w:ascii="宋体" w:hAnsi="宋体"/>
          <w:color w:val="auto"/>
          <w:szCs w:val="21"/>
          <w:highlight w:val="none"/>
          <w:u w:val="single"/>
        </w:rPr>
        <w:t xml:space="preserve"> </w:t>
      </w:r>
      <w:r>
        <w:rPr>
          <w:rFonts w:hint="eastAsia" w:ascii="宋体" w:hAnsi="宋体"/>
          <w:color w:val="auto"/>
          <w:szCs w:val="21"/>
          <w:highlight w:val="none"/>
        </w:rPr>
        <w:t>；</w:t>
      </w:r>
    </w:p>
    <w:p w14:paraId="1C72F0DE">
      <w:pPr>
        <w:spacing w:line="360" w:lineRule="auto"/>
        <w:ind w:firstLine="420"/>
        <w:rPr>
          <w:rFonts w:ascii="宋体" w:hAnsi="宋体"/>
          <w:color w:val="auto"/>
          <w:szCs w:val="21"/>
          <w:highlight w:val="none"/>
        </w:rPr>
      </w:pPr>
      <w:r>
        <w:rPr>
          <w:rFonts w:hint="eastAsia" w:ascii="宋体" w:hAnsi="宋体"/>
          <w:color w:val="auto"/>
          <w:szCs w:val="21"/>
          <w:highlight w:val="none"/>
        </w:rPr>
        <w:t>③</w:t>
      </w:r>
      <w:r>
        <w:rPr>
          <w:rFonts w:hint="eastAsia" w:ascii="宋体" w:hAnsi="宋体"/>
          <w:color w:val="auto"/>
          <w:szCs w:val="21"/>
          <w:highlight w:val="none"/>
        </w:rPr>
        <w:t>响应报价</w:t>
      </w:r>
      <w:r>
        <w:rPr>
          <w:rFonts w:hint="eastAsia" w:ascii="宋体" w:hAnsi="宋体"/>
          <w:color w:val="auto"/>
          <w:szCs w:val="21"/>
          <w:highlight w:val="none"/>
        </w:rPr>
        <w:t>低于采购项目最高限价</w:t>
      </w:r>
      <w:r>
        <w:rPr>
          <w:rFonts w:ascii="宋体" w:hAnsi="宋体"/>
          <w:color w:val="auto"/>
          <w:szCs w:val="21"/>
          <w:highlight w:val="none"/>
          <w:u w:val="single"/>
        </w:rPr>
        <w:t xml:space="preserve"> </w:t>
      </w:r>
      <w:r>
        <w:rPr>
          <w:rFonts w:hint="eastAsia" w:ascii="宋体" w:hAnsi="宋体"/>
          <w:color w:val="auto"/>
          <w:szCs w:val="21"/>
          <w:highlight w:val="none"/>
          <w:u w:val="single"/>
        </w:rPr>
        <w:t>65%</w:t>
      </w:r>
      <w:r>
        <w:rPr>
          <w:rFonts w:ascii="宋体" w:hAnsi="宋体"/>
          <w:color w:val="auto"/>
          <w:szCs w:val="21"/>
          <w:highlight w:val="none"/>
          <w:u w:val="single"/>
        </w:rPr>
        <w:t xml:space="preserve"> </w:t>
      </w:r>
      <w:r>
        <w:rPr>
          <w:rFonts w:hint="eastAsia" w:ascii="宋体" w:hAnsi="宋体"/>
          <w:color w:val="auto"/>
          <w:szCs w:val="21"/>
          <w:highlight w:val="none"/>
        </w:rPr>
        <w:t>的，即</w:t>
      </w:r>
      <w:r>
        <w:rPr>
          <w:rFonts w:hint="eastAsia" w:ascii="宋体" w:hAnsi="宋体"/>
          <w:color w:val="auto"/>
          <w:szCs w:val="21"/>
          <w:highlight w:val="none"/>
        </w:rPr>
        <w:t>响应报价</w:t>
      </w:r>
      <w:r>
        <w:rPr>
          <w:rFonts w:hint="eastAsia" w:ascii="宋体" w:hAnsi="宋体"/>
          <w:color w:val="auto"/>
          <w:szCs w:val="21"/>
          <w:highlight w:val="none"/>
        </w:rPr>
        <w:t>＜采购项目最高限价×</w:t>
      </w:r>
      <w:r>
        <w:rPr>
          <w:rFonts w:ascii="宋体" w:hAnsi="宋体"/>
          <w:color w:val="auto"/>
          <w:szCs w:val="21"/>
          <w:highlight w:val="none"/>
          <w:u w:val="single"/>
        </w:rPr>
        <w:t xml:space="preserve"> </w:t>
      </w:r>
      <w:r>
        <w:rPr>
          <w:rFonts w:hint="eastAsia" w:ascii="宋体" w:hAnsi="宋体"/>
          <w:color w:val="auto"/>
          <w:szCs w:val="21"/>
          <w:highlight w:val="none"/>
          <w:u w:val="single"/>
        </w:rPr>
        <w:t>65%</w:t>
      </w:r>
      <w:r>
        <w:rPr>
          <w:rFonts w:ascii="宋体" w:hAnsi="宋体"/>
          <w:color w:val="auto"/>
          <w:szCs w:val="21"/>
          <w:highlight w:val="none"/>
          <w:u w:val="single"/>
        </w:rPr>
        <w:t xml:space="preserve"> </w:t>
      </w:r>
      <w:r>
        <w:rPr>
          <w:rFonts w:hint="eastAsia" w:ascii="宋体" w:hAnsi="宋体"/>
          <w:color w:val="auto"/>
          <w:szCs w:val="21"/>
          <w:highlight w:val="none"/>
        </w:rPr>
        <w:t>；④磋商小组基于专业判断，认为供应商报价过低，有可能影响产品质量或者不能诚信履约的其他情形。</w:t>
      </w:r>
    </w:p>
    <w:p w14:paraId="008F44E7">
      <w:pPr>
        <w:spacing w:line="360" w:lineRule="auto"/>
        <w:ind w:firstLine="420"/>
        <w:rPr>
          <w:rFonts w:ascii="宋体" w:hAnsi="宋体"/>
          <w:color w:val="auto"/>
          <w:szCs w:val="21"/>
          <w:highlight w:val="none"/>
        </w:rPr>
      </w:pPr>
      <w:r>
        <w:rPr>
          <w:rFonts w:hint="eastAsia" w:ascii="宋体" w:hAnsi="宋体"/>
          <w:color w:val="auto"/>
          <w:szCs w:val="21"/>
          <w:highlight w:val="none"/>
        </w:rPr>
        <w:t>（2）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olor w:val="auto"/>
          <w:szCs w:val="21"/>
          <w:highlight w:val="none"/>
        </w:rPr>
        <w:t>一般</w:t>
      </w:r>
      <w:r>
        <w:rPr>
          <w:rFonts w:hint="eastAsia" w:ascii="宋体" w:hAnsi="宋体"/>
          <w:color w:val="auto"/>
          <w:szCs w:val="21"/>
          <w:highlight w:val="none"/>
        </w:rPr>
        <w:t>不少于30分钟。其中，属于第③项情形，供应商已随响应文件一并提交相关书面说明及必要的证明材料的，可不再重复提交。</w:t>
      </w:r>
    </w:p>
    <w:p w14:paraId="1352F3A4">
      <w:pPr>
        <w:spacing w:line="360" w:lineRule="auto"/>
        <w:ind w:firstLine="420"/>
        <w:rPr>
          <w:rFonts w:ascii="宋体" w:hAnsi="宋体"/>
          <w:color w:val="auto"/>
          <w:szCs w:val="21"/>
          <w:highlight w:val="none"/>
        </w:rPr>
      </w:pPr>
      <w:r>
        <w:rPr>
          <w:rFonts w:hint="eastAsia" w:ascii="宋体" w:hAnsi="宋体"/>
          <w:color w:val="auto"/>
          <w:szCs w:val="21"/>
          <w:highlight w:val="none"/>
        </w:rPr>
        <w:t>磋商小组依据专业经验，参考同类项目中标（成交）价格、类似产品市场价格水平、行业人工费用标准、国家有关部门指导行业协会发布的行业平均成本等情况，对报价合理性进行判断。</w:t>
      </w:r>
      <w:r>
        <w:rPr>
          <w:rFonts w:hint="eastAsia" w:ascii="宋体" w:hAnsi="宋体"/>
          <w:b/>
          <w:color w:val="auto"/>
          <w:szCs w:val="21"/>
          <w:highlight w:val="none"/>
        </w:rPr>
        <w:t>相关供应商不能提供书面说明、证明材料，或者提供的书面说明、证明材料不能证明其报价合理性的，磋商小组应当将其作为无效响应处理。</w:t>
      </w:r>
    </w:p>
    <w:p w14:paraId="70598403">
      <w:pPr>
        <w:spacing w:line="360" w:lineRule="auto"/>
        <w:ind w:firstLine="420"/>
        <w:rPr>
          <w:rFonts w:ascii="宋体" w:hAnsi="宋体"/>
          <w:color w:val="auto"/>
          <w:szCs w:val="21"/>
          <w:highlight w:val="none"/>
        </w:rPr>
      </w:pPr>
      <w:r>
        <w:rPr>
          <w:rFonts w:hint="eastAsia" w:ascii="宋体" w:hAnsi="宋体"/>
          <w:color w:val="auto"/>
          <w:szCs w:val="21"/>
          <w:highlight w:val="none"/>
        </w:rPr>
        <w:t>采购人、采购代理机构应当为磋商小组在评审现场及时获取同类项目中标（成交）价格、类似产品市场价格水平、行业人工费用标准、国家有关部门指导行业协会发布的行业平均成本等相关信息资料提供</w:t>
      </w:r>
      <w:r>
        <w:rPr>
          <w:rFonts w:hint="eastAsia" w:ascii="宋体" w:hAnsi="宋体"/>
          <w:color w:val="auto"/>
          <w:szCs w:val="21"/>
          <w:highlight w:val="none"/>
        </w:rPr>
        <w:t>便利</w:t>
      </w:r>
      <w:r>
        <w:rPr>
          <w:rFonts w:hint="eastAsia" w:ascii="宋体" w:hAnsi="宋体"/>
          <w:color w:val="auto"/>
          <w:szCs w:val="21"/>
          <w:highlight w:val="none"/>
        </w:rPr>
        <w:t>。磋商小组借助互联网等渠道查询相关信息的，应当严格遵守评审工作纪律，不得实施影响评审公正的行为。</w:t>
      </w:r>
    </w:p>
    <w:p w14:paraId="352A5D97">
      <w:pPr>
        <w:spacing w:line="360" w:lineRule="auto"/>
        <w:ind w:firstLine="420"/>
        <w:rPr>
          <w:rFonts w:ascii="宋体" w:hAnsi="宋体" w:cs="宋体"/>
          <w:color w:val="auto"/>
          <w:szCs w:val="21"/>
          <w:highlight w:val="none"/>
        </w:rPr>
      </w:pPr>
      <w:r>
        <w:rPr>
          <w:rFonts w:hint="eastAsia" w:ascii="宋体" w:hAnsi="宋体"/>
          <w:color w:val="auto"/>
          <w:szCs w:val="21"/>
          <w:highlight w:val="none"/>
        </w:rPr>
        <w:t>异常低价响应审查的启动原因、审查意见和审查结果应当在评审报告中记录，并随供应商提供的相关书面说明及证明材料，以及磋商小组有关互联网浏览、查询历史一并归档。</w:t>
      </w:r>
    </w:p>
    <w:p w14:paraId="36F160C1">
      <w:pPr>
        <w:spacing w:line="360" w:lineRule="auto"/>
        <w:ind w:firstLine="420"/>
        <w:rPr>
          <w:rFonts w:ascii="宋体" w:hAnsi="宋体"/>
          <w:color w:val="auto"/>
          <w:szCs w:val="21"/>
          <w:highlight w:val="none"/>
        </w:rPr>
      </w:pPr>
      <w:r>
        <w:rPr>
          <w:rFonts w:ascii="宋体" w:hAnsi="宋体" w:cs="宋体"/>
          <w:color w:val="auto"/>
          <w:szCs w:val="21"/>
          <w:highlight w:val="none"/>
        </w:rPr>
        <w:t>5.</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由磋商小组根据综合评分情况，按照评审得分由高到低顺序推荐3名以上成交候选供应商，并编写评</w:t>
      </w:r>
      <w:r>
        <w:rPr>
          <w:rFonts w:hint="eastAsia" w:ascii="宋体" w:hAnsi="宋体"/>
          <w:color w:val="auto"/>
          <w:szCs w:val="21"/>
          <w:highlight w:val="none"/>
        </w:rPr>
        <w:t>审报告。符合本章第</w:t>
      </w:r>
      <w:r>
        <w:rPr>
          <w:rFonts w:ascii="宋体" w:hAnsi="宋体"/>
          <w:color w:val="auto"/>
          <w:szCs w:val="21"/>
          <w:highlight w:val="none"/>
        </w:rPr>
        <w:t>4.3</w:t>
      </w:r>
      <w:r>
        <w:rPr>
          <w:rFonts w:hint="eastAsia" w:ascii="宋体" w:hAnsi="宋体"/>
          <w:color w:val="auto"/>
          <w:szCs w:val="21"/>
          <w:highlight w:val="none"/>
        </w:rPr>
        <w:t>条情形的，可以推荐2家成交候选供应商。评审得分相同的，按照最后报价由低到高的顺序推荐。评审得分且最后报价相同的，按照技术指标优劣顺序推荐。</w:t>
      </w:r>
    </w:p>
    <w:p w14:paraId="45D41EA8">
      <w:pPr>
        <w:spacing w:line="360" w:lineRule="auto"/>
        <w:ind w:firstLine="420"/>
        <w:rPr>
          <w:rFonts w:hint="eastAsia" w:ascii="宋体" w:hAnsi="宋体" w:eastAsia="宋体" w:cs="宋体"/>
          <w:color w:val="auto"/>
          <w:szCs w:val="21"/>
          <w:highlight w:val="none"/>
        </w:rPr>
      </w:pPr>
      <w:r>
        <w:rPr>
          <w:rFonts w:ascii="宋体" w:hAnsi="宋体"/>
          <w:color w:val="auto"/>
          <w:szCs w:val="21"/>
          <w:highlight w:val="none"/>
        </w:rPr>
        <w:t>5.</w:t>
      </w:r>
      <w:r>
        <w:rPr>
          <w:rFonts w:hint="eastAsia" w:ascii="宋体" w:hAnsi="宋体"/>
          <w:color w:val="auto"/>
          <w:szCs w:val="21"/>
          <w:highlight w:val="none"/>
          <w:lang w:val="en-US" w:eastAsia="zh-CN"/>
        </w:rPr>
        <w:t>7</w:t>
      </w:r>
      <w:r>
        <w:rPr>
          <w:rFonts w:hint="eastAsia" w:ascii="宋体" w:hAnsi="宋体"/>
          <w:color w:val="auto"/>
          <w:szCs w:val="21"/>
          <w:highlight w:val="none"/>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461EBC31">
      <w:pPr>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二、评审标准</w:t>
      </w:r>
    </w:p>
    <w:p w14:paraId="3CB0C01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6.评审依据：磋商小组将以磋商响应文件为评审依据，对供应商的报价、技术、商务等方面内容按百分制打分。（计分方法按四舍五入取至百分位）</w:t>
      </w:r>
    </w:p>
    <w:p w14:paraId="5F442C60">
      <w:pPr>
        <w:spacing w:line="360" w:lineRule="auto"/>
        <w:ind w:firstLine="420"/>
        <w:rPr>
          <w:rFonts w:hint="eastAsia" w:ascii="宋体" w:hAnsi="宋体" w:eastAsia="宋体" w:cs="宋体"/>
          <w:color w:val="auto"/>
          <w:highlight w:val="none"/>
        </w:rPr>
      </w:pPr>
      <w:r>
        <w:rPr>
          <w:rFonts w:hint="eastAsia" w:ascii="宋体" w:hAnsi="宋体" w:eastAsia="宋体" w:cs="宋体"/>
          <w:bCs/>
          <w:color w:val="auto"/>
          <w:szCs w:val="21"/>
          <w:highlight w:val="none"/>
        </w:rPr>
        <w:t>7.由磋商小组根据综合评分情况，按照评审得分由高到低顺序推荐3名</w:t>
      </w:r>
      <w:r>
        <w:rPr>
          <w:rFonts w:hint="eastAsia" w:ascii="宋体" w:hAnsi="宋体" w:eastAsia="宋体" w:cs="宋体"/>
          <w:bCs/>
          <w:color w:val="auto"/>
          <w:szCs w:val="21"/>
          <w:highlight w:val="none"/>
          <w:lang w:val="en-US" w:eastAsia="zh-CN"/>
        </w:rPr>
        <w:t>及</w:t>
      </w:r>
      <w:r>
        <w:rPr>
          <w:rFonts w:hint="eastAsia" w:ascii="宋体" w:hAnsi="宋体" w:eastAsia="宋体" w:cs="宋体"/>
          <w:bCs/>
          <w:color w:val="auto"/>
          <w:szCs w:val="21"/>
          <w:highlight w:val="none"/>
        </w:rPr>
        <w:t>以上成交候选供应商，并编写评审报告，</w:t>
      </w:r>
      <w:r>
        <w:rPr>
          <w:rFonts w:hint="eastAsia" w:ascii="宋体" w:hAnsi="宋体" w:eastAsia="宋体" w:cs="宋体"/>
          <w:color w:val="auto"/>
          <w:highlight w:val="none"/>
        </w:rPr>
        <w:t>评审报告向采购人、采购代理机构提交。</w:t>
      </w:r>
      <w:r>
        <w:rPr>
          <w:rFonts w:hint="eastAsia" w:ascii="宋体" w:hAnsi="宋体" w:eastAsia="宋体" w:cs="宋体"/>
          <w:bCs/>
          <w:color w:val="auto"/>
          <w:szCs w:val="21"/>
          <w:highlight w:val="none"/>
        </w:rPr>
        <w:t>符合本章第4.3条情形的，可以推荐2家成交候选供应商。评审得分相同的，按照最后报价（不计算价格折扣）由低到高的顺序推荐。评审得分且最后报价（不计算价格折扣）相同的，按照技术指标优劣顺序推荐（按技术得分由高到低排序，技术得分相同的按照技术要求偏离分由高到低排序）。</w:t>
      </w:r>
      <w:r>
        <w:rPr>
          <w:rFonts w:hint="eastAsia" w:ascii="宋体" w:hAnsi="宋体" w:eastAsia="宋体" w:cs="宋体"/>
          <w:bCs/>
          <w:color w:val="auto"/>
          <w:szCs w:val="21"/>
          <w:highlight w:val="none"/>
        </w:rPr>
        <w:t>评审得分、最后报价（不计算价格折扣）、技术得分、技术要求偏离分均相同。</w:t>
      </w:r>
      <w:r>
        <w:rPr>
          <w:color w:val="auto"/>
          <w:highlight w:val="none"/>
        </w:rPr>
        <w:t>﻿</w:t>
      </w:r>
    </w:p>
    <w:tbl>
      <w:tblPr>
        <w:tblStyle w:val="35"/>
        <w:tblpPr w:leftFromText="180" w:rightFromText="180" w:vertAnchor="text" w:horzAnchor="page" w:tblpXSpec="center" w:tblpY="809"/>
        <w:tblOverlap w:val="never"/>
        <w:tblW w:w="95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2175"/>
        <w:gridCol w:w="5378"/>
        <w:gridCol w:w="1310"/>
      </w:tblGrid>
      <w:tr w14:paraId="23275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521" w:type="dxa"/>
            <w:gridSpan w:val="4"/>
            <w:noWrap w:val="0"/>
            <w:vAlign w:val="center"/>
          </w:tcPr>
          <w:p w14:paraId="5D068186">
            <w:pPr>
              <w:spacing w:line="360" w:lineRule="auto"/>
              <w:jc w:val="center"/>
              <w:rPr>
                <w:rFonts w:ascii="宋体" w:hAnsi="宋体" w:cs="宋体"/>
                <w:b/>
                <w:bCs/>
                <w:color w:val="auto"/>
                <w:sz w:val="24"/>
                <w:highlight w:val="none"/>
              </w:rPr>
            </w:pPr>
            <w:r>
              <w:rPr>
                <w:rFonts w:hint="eastAsia" w:ascii="宋体" w:hAnsi="宋体" w:cs="宋体"/>
                <w:b/>
                <w:color w:val="auto"/>
                <w:sz w:val="24"/>
                <w:highlight w:val="none"/>
              </w:rPr>
              <w:t>评审标准</w:t>
            </w:r>
          </w:p>
        </w:tc>
      </w:tr>
      <w:tr w14:paraId="27F42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8" w:type="dxa"/>
            <w:noWrap w:val="0"/>
            <w:vAlign w:val="center"/>
          </w:tcPr>
          <w:p w14:paraId="10BB3350">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2175" w:type="dxa"/>
            <w:noWrap w:val="0"/>
            <w:vAlign w:val="center"/>
          </w:tcPr>
          <w:p w14:paraId="2AFE3195">
            <w:pPr>
              <w:spacing w:line="360" w:lineRule="auto"/>
              <w:jc w:val="center"/>
              <w:rPr>
                <w:rFonts w:ascii="宋体" w:hAnsi="宋体" w:cs="宋体"/>
                <w:b/>
                <w:bCs/>
                <w:color w:val="auto"/>
                <w:sz w:val="24"/>
                <w:highlight w:val="none"/>
              </w:rPr>
            </w:pPr>
            <w:r>
              <w:rPr>
                <w:rFonts w:hint="eastAsia" w:ascii="宋体" w:hAnsi="宋体" w:cs="宋体"/>
                <w:b/>
                <w:color w:val="auto"/>
                <w:sz w:val="24"/>
                <w:highlight w:val="none"/>
              </w:rPr>
              <w:t>评审</w:t>
            </w:r>
            <w:r>
              <w:rPr>
                <w:rFonts w:hint="eastAsia" w:ascii="宋体" w:hAnsi="宋体" w:cs="宋体"/>
                <w:b/>
                <w:bCs/>
                <w:color w:val="auto"/>
                <w:sz w:val="24"/>
                <w:highlight w:val="none"/>
              </w:rPr>
              <w:t>类型</w:t>
            </w:r>
          </w:p>
        </w:tc>
        <w:tc>
          <w:tcPr>
            <w:tcW w:w="5378" w:type="dxa"/>
            <w:noWrap w:val="0"/>
            <w:vAlign w:val="center"/>
          </w:tcPr>
          <w:p w14:paraId="4FBBDFBD">
            <w:pPr>
              <w:spacing w:line="360" w:lineRule="auto"/>
              <w:jc w:val="center"/>
              <w:rPr>
                <w:rFonts w:ascii="宋体" w:hAnsi="宋体" w:cs="宋体"/>
                <w:b/>
                <w:bCs/>
                <w:color w:val="auto"/>
                <w:sz w:val="24"/>
                <w:highlight w:val="none"/>
              </w:rPr>
            </w:pPr>
            <w:r>
              <w:rPr>
                <w:rFonts w:hint="eastAsia" w:ascii="宋体" w:hAnsi="宋体" w:cs="宋体"/>
                <w:b/>
                <w:color w:val="auto"/>
                <w:sz w:val="24"/>
                <w:highlight w:val="none"/>
              </w:rPr>
              <w:t>评审</w:t>
            </w:r>
            <w:r>
              <w:rPr>
                <w:rFonts w:hint="eastAsia" w:ascii="宋体" w:hAnsi="宋体" w:cs="宋体"/>
                <w:b/>
                <w:bCs/>
                <w:color w:val="auto"/>
                <w:sz w:val="24"/>
                <w:highlight w:val="none"/>
              </w:rPr>
              <w:t>标准</w:t>
            </w:r>
          </w:p>
        </w:tc>
        <w:tc>
          <w:tcPr>
            <w:tcW w:w="1310" w:type="dxa"/>
            <w:noWrap w:val="0"/>
            <w:vAlign w:val="center"/>
          </w:tcPr>
          <w:p w14:paraId="2B421962">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分值</w:t>
            </w:r>
          </w:p>
        </w:tc>
      </w:tr>
      <w:tr w14:paraId="4B544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8" w:type="dxa"/>
            <w:noWrap w:val="0"/>
            <w:vAlign w:val="center"/>
          </w:tcPr>
          <w:p w14:paraId="48741BDA">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1</w:t>
            </w:r>
          </w:p>
        </w:tc>
        <w:tc>
          <w:tcPr>
            <w:tcW w:w="2175" w:type="dxa"/>
            <w:noWrap w:val="0"/>
            <w:vAlign w:val="center"/>
          </w:tcPr>
          <w:p w14:paraId="739CD36C">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价格分</w:t>
            </w:r>
          </w:p>
          <w:p w14:paraId="1693AA46">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（满分1</w:t>
            </w:r>
            <w:r>
              <w:rPr>
                <w:rFonts w:hint="eastAsia" w:ascii="宋体" w:hAnsi="宋体" w:cs="宋体"/>
                <w:b/>
                <w:bCs/>
                <w:color w:val="auto"/>
                <w:sz w:val="24"/>
                <w:highlight w:val="none"/>
                <w:lang w:val="en-US" w:eastAsia="zh-CN"/>
              </w:rPr>
              <w:t>5</w:t>
            </w:r>
            <w:r>
              <w:rPr>
                <w:rFonts w:hint="eastAsia" w:ascii="宋体" w:hAnsi="宋体" w:cs="宋体"/>
                <w:b/>
                <w:bCs/>
                <w:color w:val="auto"/>
                <w:sz w:val="24"/>
                <w:highlight w:val="none"/>
              </w:rPr>
              <w:t>分）</w:t>
            </w:r>
          </w:p>
        </w:tc>
        <w:tc>
          <w:tcPr>
            <w:tcW w:w="5378" w:type="dxa"/>
            <w:noWrap w:val="0"/>
            <w:vAlign w:val="top"/>
          </w:tcPr>
          <w:p w14:paraId="2869F180">
            <w:pPr>
              <w:keepNext w:val="0"/>
              <w:keepLines w:val="0"/>
              <w:pageBreakBefore w:val="0"/>
              <w:shd w:val="clear" w:color="auto" w:fill="auto"/>
              <w:bidi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color w:val="auto"/>
                <w:sz w:val="21"/>
                <w:szCs w:val="21"/>
                <w:highlight w:val="none"/>
              </w:rPr>
              <w:t>评审价为供应商的最后报价进行政策性扣除后的价格，评审价只是作为评审时使用。最终成交供应商的成交金额等于最后报价（如有修正，以确认修正后的最后报价为准）。</w:t>
            </w:r>
          </w:p>
          <w:p w14:paraId="78BDF947">
            <w:pPr>
              <w:pStyle w:val="20"/>
              <w:keepNext w:val="0"/>
              <w:keepLines w:val="0"/>
              <w:pageBreakBefore w:val="0"/>
              <w:shd w:val="clear" w:color="auto" w:fill="auto"/>
              <w:bidi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（2）采购政策性扣除计算方法</w:t>
            </w:r>
          </w:p>
          <w:p w14:paraId="1AEB4825">
            <w:pPr>
              <w:keepNext w:val="0"/>
              <w:keepLines w:val="0"/>
              <w:pageBreakBefore w:val="0"/>
              <w:shd w:val="clear" w:color="auto" w:fill="auto"/>
              <w:bidi w:val="0"/>
              <w:spacing w:line="360" w:lineRule="auto"/>
              <w:ind w:firstLine="36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参照《政府采购促进中小企业发展管理办法》（财库〔2020〕46号）</w:t>
            </w:r>
            <w:r>
              <w:rPr>
                <w:rFonts w:hint="eastAsia" w:ascii="宋体" w:hAnsi="宋体" w:eastAsia="宋体" w:cs="宋体"/>
                <w:bCs/>
                <w:color w:val="auto"/>
                <w:sz w:val="21"/>
                <w:szCs w:val="21"/>
                <w:highlight w:val="none"/>
              </w:rPr>
              <w:t>和</w:t>
            </w:r>
            <w:r>
              <w:rPr>
                <w:rFonts w:hint="eastAsia" w:ascii="宋体" w:hAnsi="宋体" w:eastAsia="宋体" w:cs="宋体"/>
                <w:bCs/>
                <w:color w:val="auto"/>
                <w:sz w:val="21"/>
                <w:szCs w:val="21"/>
                <w:highlight w:val="none"/>
                <w:lang w:eastAsia="zh-CN"/>
              </w:rPr>
              <w:t>《广西壮族自治区财政厅关于持续优化政府采购营商环境推动高质量发展的通知》（</w:t>
            </w:r>
            <w:r>
              <w:rPr>
                <w:rFonts w:hint="eastAsia" w:ascii="宋体" w:hAnsi="宋体" w:eastAsia="宋体" w:cs="宋体"/>
                <w:bCs/>
                <w:color w:val="auto"/>
                <w:sz w:val="21"/>
                <w:szCs w:val="21"/>
                <w:highlight w:val="none"/>
                <w:lang w:eastAsia="zh-CN"/>
              </w:rPr>
              <w:t>桂财采（2024）55号</w:t>
            </w:r>
            <w:r>
              <w:rPr>
                <w:rFonts w:hint="eastAsia" w:ascii="宋体" w:hAnsi="宋体" w:eastAsia="宋体" w:cs="宋体"/>
                <w:bCs/>
                <w:color w:val="auto"/>
                <w:sz w:val="21"/>
                <w:szCs w:val="21"/>
                <w:highlight w:val="none"/>
                <w:lang w:eastAsia="zh-CN"/>
              </w:rPr>
              <w:t>）</w:t>
            </w:r>
            <w:r>
              <w:rPr>
                <w:rFonts w:hint="eastAsia" w:ascii="宋体" w:hAnsi="宋体" w:eastAsia="宋体" w:cs="宋体"/>
                <w:color w:val="auto"/>
                <w:sz w:val="21"/>
                <w:szCs w:val="21"/>
                <w:highlight w:val="none"/>
              </w:rPr>
              <w:t>的规定，供应商在其响应文件中提供《中小企业声明函》，</w:t>
            </w:r>
            <w:r>
              <w:rPr>
                <w:rFonts w:hint="eastAsia" w:ascii="宋体" w:hAnsi="宋体" w:eastAsia="宋体" w:cs="宋体"/>
                <w:bCs/>
                <w:color w:val="auto"/>
                <w:sz w:val="21"/>
                <w:szCs w:val="21"/>
                <w:highlight w:val="none"/>
              </w:rPr>
              <w:t>且服务全部由小微企业承接</w:t>
            </w:r>
            <w:r>
              <w:rPr>
                <w:rFonts w:hint="eastAsia" w:ascii="宋体" w:hAnsi="宋体" w:eastAsia="宋体" w:cs="宋体"/>
                <w:color w:val="auto"/>
                <w:sz w:val="21"/>
                <w:szCs w:val="21"/>
                <w:highlight w:val="none"/>
              </w:rPr>
              <w:t>，</w:t>
            </w:r>
            <w:r>
              <w:rPr>
                <w:rFonts w:hint="eastAsia" w:ascii="宋体" w:hAnsi="宋体" w:eastAsia="宋体" w:cs="宋体"/>
                <w:bCs/>
                <w:color w:val="auto"/>
                <w:sz w:val="21"/>
                <w:szCs w:val="21"/>
                <w:highlight w:val="none"/>
              </w:rPr>
              <w:t>对供应商的竞标报价给予</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0%的扣除，扣除后的价格为评审价，即评审价=竞标报价×（1-</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0%）。接受大中型企业与小微企业组成联合体或者允许大中型企业向一家或者多家小微企业分包的采购项目，联合协议或者分包意向协议约定小微企业的合同份额占到合同总金额30%以上的，采购人、采购代理机构应当对联合体或者大中型企业的报价给予</w:t>
            </w:r>
            <w:r>
              <w:rPr>
                <w:rFonts w:hint="eastAsia" w:ascii="宋体" w:hAnsi="宋体" w:eastAsia="宋体" w:cs="宋体"/>
                <w:bCs/>
                <w:color w:val="auto"/>
                <w:sz w:val="21"/>
                <w:szCs w:val="21"/>
                <w:highlight w:val="none"/>
                <w:u w:val="single"/>
              </w:rPr>
              <w:t xml:space="preserve"> 4% </w:t>
            </w:r>
            <w:r>
              <w:rPr>
                <w:rFonts w:hint="eastAsia" w:ascii="宋体" w:hAnsi="宋体" w:eastAsia="宋体" w:cs="宋体"/>
                <w:bCs/>
                <w:color w:val="auto"/>
                <w:sz w:val="21"/>
                <w:szCs w:val="21"/>
                <w:highlight w:val="none"/>
              </w:rPr>
              <w:t xml:space="preserve"> 的扣除，用扣除后的价格参加评审，扣除后的价格为评审价，即评审价=竞标报价×（1-</w:t>
            </w:r>
            <w:r>
              <w:rPr>
                <w:rFonts w:hint="eastAsia" w:ascii="宋体" w:hAnsi="宋体" w:eastAsia="宋体" w:cs="宋体"/>
                <w:bCs/>
                <w:color w:val="auto"/>
                <w:sz w:val="21"/>
                <w:szCs w:val="21"/>
                <w:highlight w:val="none"/>
                <w:u w:val="single"/>
              </w:rPr>
              <w:t xml:space="preserve"> 4 </w:t>
            </w:r>
            <w:r>
              <w:rPr>
                <w:rFonts w:hint="eastAsia" w:ascii="宋体" w:hAnsi="宋体" w:eastAsia="宋体" w:cs="宋体"/>
                <w:bCs/>
                <w:color w:val="auto"/>
                <w:sz w:val="21"/>
                <w:szCs w:val="21"/>
                <w:highlight w:val="none"/>
              </w:rPr>
              <w:t>%）。除上述情况外，评审价=竞标报价。</w:t>
            </w:r>
          </w:p>
          <w:p w14:paraId="2D04561A">
            <w:pPr>
              <w:keepNext w:val="0"/>
              <w:keepLines w:val="0"/>
              <w:pageBreakBefore w:val="0"/>
              <w:shd w:val="clear" w:color="auto" w:fill="auto"/>
              <w:bidi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参照《财政部、司法部关于政府采购支持监狱企业发展有关问题的通知》（财库〔2014〕68号）的规定，监狱企业视同小型、微型企业，享受预留份额、评审中价格扣除等促进中小企业发展的政府采购政策。监狱企业参加采购活动时，应当提供由省级以上监狱管理局、戒毒管理局(含新疆生产建设兵团)出具的属于监狱企业的证明文件。不重复享受政策。</w:t>
            </w:r>
          </w:p>
          <w:p w14:paraId="0F08B074">
            <w:pPr>
              <w:keepNext w:val="0"/>
              <w:keepLines w:val="0"/>
              <w:pageBreakBefore w:val="0"/>
              <w:shd w:val="clear" w:color="auto" w:fill="auto"/>
              <w:bidi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参照《关于促进残疾人就业政府采购政策的通知》（财库〔2017〕141号）的规定，残疾人福利性单位视同小型、微型企业，享受预留份额、评审中价格扣除等促进中小企业发展的政府采购政策。残疾人福利性单位参加采购活动时，应当提供该通知规定的《残疾人福利性单位声明函》，并对声明的真实性负责。残疾人福利性单位属于小型、微型企业的，不重复享受政策。</w:t>
            </w:r>
          </w:p>
          <w:p w14:paraId="76B36076">
            <w:pPr>
              <w:pStyle w:val="20"/>
              <w:keepNext w:val="0"/>
              <w:keepLines w:val="0"/>
              <w:pageBreakBefore w:val="0"/>
              <w:shd w:val="clear" w:color="auto" w:fill="auto"/>
              <w:bidi w:val="0"/>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（5）以进入比较与评价环节的最低的评审价为基准价，基准价得分为</w:t>
            </w:r>
            <w:r>
              <w:rPr>
                <w:rFonts w:hint="eastAsia" w:ascii="宋体" w:hAnsi="宋体" w:eastAsia="宋体" w:cs="宋体"/>
                <w:bCs/>
                <w:color w:val="auto"/>
                <w:sz w:val="21"/>
                <w:szCs w:val="21"/>
                <w:highlight w:val="none"/>
                <w:u w:val="single"/>
                <w:lang w:val="en-US" w:eastAsia="zh-CN"/>
              </w:rPr>
              <w:t>15</w:t>
            </w:r>
            <w:r>
              <w:rPr>
                <w:rFonts w:hint="eastAsia" w:ascii="宋体" w:hAnsi="宋体" w:eastAsia="宋体" w:cs="宋体"/>
                <w:bCs/>
                <w:color w:val="auto"/>
                <w:sz w:val="21"/>
                <w:szCs w:val="21"/>
                <w:highlight w:val="none"/>
                <w:u w:val="single"/>
              </w:rPr>
              <w:t>分</w:t>
            </w:r>
            <w:r>
              <w:rPr>
                <w:rFonts w:hint="eastAsia" w:ascii="宋体" w:hAnsi="宋体" w:eastAsia="宋体" w:cs="宋体"/>
                <w:bCs/>
                <w:color w:val="auto"/>
                <w:sz w:val="21"/>
                <w:szCs w:val="21"/>
                <w:highlight w:val="none"/>
              </w:rPr>
              <w:t>。</w:t>
            </w:r>
          </w:p>
          <w:p w14:paraId="5F1A2815">
            <w:pPr>
              <w:pStyle w:val="20"/>
              <w:keepNext w:val="0"/>
              <w:keepLines w:val="0"/>
              <w:pageBreakBefore w:val="0"/>
              <w:shd w:val="clear" w:color="auto" w:fill="auto"/>
              <w:bidi w:val="0"/>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（6）价格分计算公式：</w:t>
            </w:r>
          </w:p>
          <w:p w14:paraId="703FFB68">
            <w:pPr>
              <w:pStyle w:val="20"/>
              <w:keepNext w:val="0"/>
              <w:keepLines w:val="0"/>
              <w:pageBreakBefore w:val="0"/>
              <w:shd w:val="clear" w:color="auto" w:fill="auto"/>
              <w:bidi w:val="0"/>
              <w:spacing w:line="360" w:lineRule="auto"/>
              <w:ind w:firstLine="420"/>
              <w:rPr>
                <w:rFonts w:ascii="宋体" w:hAnsi="宋体" w:cs="宋体"/>
                <w:color w:val="auto"/>
                <w:sz w:val="24"/>
                <w:highlight w:val="none"/>
              </w:rPr>
            </w:pPr>
            <w:r>
              <w:rPr>
                <w:rFonts w:hint="eastAsia" w:ascii="宋体" w:hAnsi="宋体" w:eastAsia="宋体" w:cs="宋体"/>
                <w:bCs/>
                <w:color w:val="auto"/>
                <w:sz w:val="21"/>
                <w:szCs w:val="21"/>
                <w:highlight w:val="none"/>
              </w:rPr>
              <w:t>报价得分=（基准价/最后报价）×</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u w:val="single"/>
                <w:lang w:val="en-US" w:eastAsia="zh-CN"/>
              </w:rPr>
              <w:t>5</w:t>
            </w:r>
            <w:r>
              <w:rPr>
                <w:rFonts w:hint="eastAsia" w:ascii="宋体" w:hAnsi="宋体" w:eastAsia="宋体" w:cs="宋体"/>
                <w:bCs/>
                <w:color w:val="auto"/>
                <w:sz w:val="21"/>
                <w:szCs w:val="21"/>
                <w:highlight w:val="none"/>
                <w:u w:val="single"/>
              </w:rPr>
              <w:t>分</w:t>
            </w:r>
          </w:p>
        </w:tc>
        <w:tc>
          <w:tcPr>
            <w:tcW w:w="1310" w:type="dxa"/>
            <w:noWrap w:val="0"/>
            <w:vAlign w:val="center"/>
          </w:tcPr>
          <w:p w14:paraId="6B0CA0C2">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分</w:t>
            </w:r>
          </w:p>
        </w:tc>
      </w:tr>
      <w:tr w14:paraId="1FDC1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8" w:type="dxa"/>
            <w:noWrap w:val="0"/>
            <w:vAlign w:val="center"/>
          </w:tcPr>
          <w:p w14:paraId="115FD744">
            <w:pPr>
              <w:widowControl/>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2</w:t>
            </w:r>
          </w:p>
        </w:tc>
        <w:tc>
          <w:tcPr>
            <w:tcW w:w="2175" w:type="dxa"/>
            <w:noWrap w:val="0"/>
            <w:vAlign w:val="center"/>
          </w:tcPr>
          <w:p w14:paraId="4068D721">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实施方案分</w:t>
            </w:r>
          </w:p>
          <w:p w14:paraId="13535650">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（满分</w:t>
            </w:r>
            <w:r>
              <w:rPr>
                <w:rFonts w:hint="eastAsia" w:ascii="宋体" w:hAnsi="宋体" w:cs="宋体"/>
                <w:b/>
                <w:bCs/>
                <w:color w:val="auto"/>
                <w:sz w:val="24"/>
                <w:highlight w:val="none"/>
                <w:lang w:val="en-US" w:eastAsia="zh-CN"/>
              </w:rPr>
              <w:t>20</w:t>
            </w:r>
            <w:r>
              <w:rPr>
                <w:rFonts w:hint="eastAsia" w:ascii="宋体" w:hAnsi="宋体" w:cs="宋体"/>
                <w:b/>
                <w:bCs/>
                <w:color w:val="auto"/>
                <w:sz w:val="24"/>
                <w:highlight w:val="none"/>
              </w:rPr>
              <w:t>分）</w:t>
            </w:r>
          </w:p>
        </w:tc>
        <w:tc>
          <w:tcPr>
            <w:tcW w:w="5378" w:type="dxa"/>
            <w:noWrap w:val="0"/>
            <w:vAlign w:val="center"/>
          </w:tcPr>
          <w:p w14:paraId="4EF32660">
            <w:pPr>
              <w:pStyle w:val="20"/>
              <w:spacing w:line="360" w:lineRule="auto"/>
              <w:rPr>
                <w:rFonts w:hAnsi="宋体" w:cs="宋体"/>
                <w:color w:val="auto"/>
                <w:sz w:val="21"/>
                <w:highlight w:val="none"/>
              </w:rPr>
            </w:pPr>
            <w:r>
              <w:rPr>
                <w:rFonts w:hint="eastAsia" w:hAnsi="宋体" w:cs="宋体"/>
                <w:bCs/>
                <w:color w:val="auto"/>
                <w:sz w:val="21"/>
                <w:highlight w:val="none"/>
              </w:rPr>
              <w:t>（1）项目实施方案</w:t>
            </w:r>
            <w:r>
              <w:rPr>
                <w:rFonts w:hint="eastAsia" w:hAnsi="宋体" w:cs="宋体"/>
                <w:color w:val="auto"/>
                <w:sz w:val="21"/>
                <w:highlight w:val="none"/>
              </w:rPr>
              <w:t>：</w:t>
            </w:r>
          </w:p>
          <w:p w14:paraId="0290F208">
            <w:pPr>
              <w:pStyle w:val="20"/>
              <w:spacing w:line="360" w:lineRule="auto"/>
              <w:rPr>
                <w:rFonts w:hAnsi="宋体" w:cs="宋体"/>
                <w:color w:val="auto"/>
                <w:sz w:val="21"/>
                <w:highlight w:val="none"/>
              </w:rPr>
            </w:pPr>
            <w:r>
              <w:rPr>
                <w:rFonts w:hint="eastAsia" w:hAnsi="宋体" w:cs="宋体"/>
                <w:color w:val="auto"/>
                <w:sz w:val="21"/>
                <w:highlight w:val="none"/>
              </w:rPr>
              <w:t>一档(8分）:项目管理和保障方案简单，有针对本项目完善的系统升级方案设计进行简单描述，方案无针对性，可实施性不强。</w:t>
            </w:r>
          </w:p>
          <w:p w14:paraId="27F56A5F">
            <w:pPr>
              <w:pStyle w:val="20"/>
              <w:spacing w:line="360" w:lineRule="auto"/>
              <w:rPr>
                <w:rFonts w:hint="eastAsia" w:hAnsi="宋体" w:eastAsia="宋体" w:cs="宋体"/>
                <w:color w:val="auto"/>
                <w:sz w:val="21"/>
                <w:highlight w:val="none"/>
                <w:lang w:eastAsia="zh-CN"/>
              </w:rPr>
            </w:pPr>
            <w:r>
              <w:rPr>
                <w:rFonts w:hint="eastAsia" w:hAnsi="宋体" w:cs="宋体"/>
                <w:color w:val="auto"/>
                <w:sz w:val="21"/>
                <w:highlight w:val="none"/>
                <w:lang w:val="en-US" w:eastAsia="zh-CN"/>
              </w:rPr>
              <w:t>二</w:t>
            </w:r>
            <w:r>
              <w:rPr>
                <w:rFonts w:hint="eastAsia" w:hAnsi="宋体" w:cs="宋体"/>
                <w:color w:val="auto"/>
                <w:sz w:val="21"/>
                <w:highlight w:val="none"/>
              </w:rPr>
              <w:t>档（</w:t>
            </w:r>
            <w:r>
              <w:rPr>
                <w:rFonts w:hint="eastAsia" w:hAnsi="宋体" w:cs="宋体"/>
                <w:color w:val="auto"/>
                <w:sz w:val="21"/>
                <w:highlight w:val="none"/>
                <w:lang w:val="en-US" w:eastAsia="zh-CN"/>
              </w:rPr>
              <w:t>15</w:t>
            </w:r>
            <w:r>
              <w:rPr>
                <w:rFonts w:hint="eastAsia" w:hAnsi="宋体" w:cs="宋体"/>
                <w:color w:val="auto"/>
                <w:sz w:val="21"/>
                <w:highlight w:val="none"/>
              </w:rPr>
              <w:t>分）:项目管理和保障方案较好满足系统维护要求，有针对本项目完善的系统升级方案体现整体实施管理文档计划、项目质量安全保证体系、安全保密制度等，并目项目方案可实施性较好</w:t>
            </w:r>
            <w:r>
              <w:rPr>
                <w:rFonts w:hint="eastAsia" w:hAnsi="宋体" w:cs="宋体"/>
                <w:color w:val="auto"/>
                <w:sz w:val="21"/>
                <w:highlight w:val="none"/>
                <w:lang w:eastAsia="zh-CN"/>
              </w:rPr>
              <w:t>。</w:t>
            </w:r>
          </w:p>
          <w:p w14:paraId="2D75CDC4">
            <w:pPr>
              <w:pStyle w:val="20"/>
              <w:spacing w:line="360" w:lineRule="auto"/>
              <w:rPr>
                <w:rFonts w:ascii="宋体" w:hAnsi="宋体" w:cs="宋体"/>
                <w:b/>
                <w:bCs/>
                <w:color w:val="auto"/>
                <w:sz w:val="24"/>
                <w:highlight w:val="none"/>
              </w:rPr>
            </w:pPr>
            <w:r>
              <w:rPr>
                <w:rFonts w:hint="eastAsia" w:hAnsi="宋体" w:cs="宋体"/>
                <w:color w:val="auto"/>
                <w:sz w:val="21"/>
                <w:highlight w:val="none"/>
                <w:lang w:val="en-US" w:eastAsia="zh-CN"/>
              </w:rPr>
              <w:t>三</w:t>
            </w:r>
            <w:r>
              <w:rPr>
                <w:rFonts w:hint="eastAsia" w:hAnsi="宋体" w:cs="宋体"/>
                <w:color w:val="auto"/>
                <w:sz w:val="21"/>
                <w:highlight w:val="none"/>
              </w:rPr>
              <w:t>档（</w:t>
            </w:r>
            <w:r>
              <w:rPr>
                <w:rFonts w:hint="eastAsia" w:hAnsi="宋体" w:cs="宋体"/>
                <w:color w:val="auto"/>
                <w:sz w:val="21"/>
                <w:highlight w:val="none"/>
                <w:lang w:val="en-US" w:eastAsia="zh-CN"/>
              </w:rPr>
              <w:t>20</w:t>
            </w:r>
            <w:r>
              <w:rPr>
                <w:rFonts w:hint="eastAsia" w:hAnsi="宋体" w:cs="宋体"/>
                <w:color w:val="auto"/>
                <w:sz w:val="21"/>
                <w:highlight w:val="none"/>
              </w:rPr>
              <w:t>分）:项目管理和保障方案完全满足系统维护要求；针对本项目完善的系统升级方案体现整体实施管理文档计划、项目质量安全保证体系、安全保密制度等比较细致、合理、可行；对本项目理解程度描述，对重难点作出分析，保障响应措施较有力，服务经验丰富。</w:t>
            </w:r>
          </w:p>
        </w:tc>
        <w:tc>
          <w:tcPr>
            <w:tcW w:w="1310" w:type="dxa"/>
            <w:noWrap w:val="0"/>
            <w:vAlign w:val="center"/>
          </w:tcPr>
          <w:p w14:paraId="204102CA">
            <w:pPr>
              <w:spacing w:line="360" w:lineRule="auto"/>
              <w:jc w:val="center"/>
              <w:rPr>
                <w:rFonts w:ascii="宋体" w:hAnsi="宋体" w:cs="宋体"/>
                <w:b/>
                <w:bCs/>
                <w:color w:val="auto"/>
                <w:sz w:val="24"/>
                <w:highlight w:val="none"/>
              </w:rPr>
            </w:pPr>
            <w:r>
              <w:rPr>
                <w:rFonts w:hint="eastAsia" w:ascii="宋体" w:hAnsi="宋体" w:cs="宋体"/>
                <w:bCs/>
                <w:color w:val="auto"/>
                <w:sz w:val="24"/>
                <w:highlight w:val="none"/>
                <w:lang w:val="en-US" w:eastAsia="zh-CN"/>
              </w:rPr>
              <w:t>20</w:t>
            </w:r>
            <w:r>
              <w:rPr>
                <w:rFonts w:hint="eastAsia" w:ascii="宋体" w:hAnsi="宋体" w:cs="宋体"/>
                <w:bCs/>
                <w:color w:val="auto"/>
                <w:sz w:val="24"/>
                <w:highlight w:val="none"/>
              </w:rPr>
              <w:t>分</w:t>
            </w:r>
          </w:p>
        </w:tc>
      </w:tr>
      <w:tr w14:paraId="7716B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0" w:hRule="atLeast"/>
          <w:jc w:val="center"/>
        </w:trPr>
        <w:tc>
          <w:tcPr>
            <w:tcW w:w="658" w:type="dxa"/>
            <w:noWrap w:val="0"/>
            <w:vAlign w:val="center"/>
          </w:tcPr>
          <w:p w14:paraId="6002DFF4">
            <w:pPr>
              <w:widowControl/>
              <w:spacing w:line="360" w:lineRule="auto"/>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p>
        </w:tc>
        <w:tc>
          <w:tcPr>
            <w:tcW w:w="2175" w:type="dxa"/>
            <w:noWrap w:val="0"/>
            <w:vAlign w:val="center"/>
          </w:tcPr>
          <w:p w14:paraId="2640E4A5">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拟投入项目人员</w:t>
            </w:r>
            <w:r>
              <w:rPr>
                <w:rFonts w:hint="eastAsia" w:ascii="宋体" w:hAnsi="宋体" w:cs="宋体"/>
                <w:b/>
                <w:bCs/>
                <w:color w:val="auto"/>
                <w:sz w:val="24"/>
                <w:highlight w:val="none"/>
                <w:lang w:val="en-US" w:eastAsia="zh-CN"/>
              </w:rPr>
              <w:t>分</w:t>
            </w:r>
            <w:r>
              <w:rPr>
                <w:rFonts w:hint="eastAsia" w:ascii="宋体" w:hAnsi="宋体" w:cs="宋体"/>
                <w:b/>
                <w:bCs/>
                <w:color w:val="auto"/>
                <w:sz w:val="24"/>
                <w:highlight w:val="none"/>
              </w:rPr>
              <w:t>（满分</w:t>
            </w:r>
            <w:r>
              <w:rPr>
                <w:rFonts w:hint="eastAsia" w:ascii="宋体" w:hAnsi="宋体" w:cs="宋体"/>
                <w:b/>
                <w:bCs/>
                <w:color w:val="auto"/>
                <w:sz w:val="24"/>
                <w:highlight w:val="none"/>
                <w:lang w:val="en-US" w:eastAsia="zh-CN"/>
              </w:rPr>
              <w:t>15</w:t>
            </w:r>
            <w:r>
              <w:rPr>
                <w:rFonts w:hint="eastAsia" w:ascii="宋体" w:hAnsi="宋体" w:cs="宋体"/>
                <w:b/>
                <w:bCs/>
                <w:color w:val="auto"/>
                <w:sz w:val="24"/>
                <w:highlight w:val="none"/>
              </w:rPr>
              <w:t>分）</w:t>
            </w:r>
          </w:p>
        </w:tc>
        <w:tc>
          <w:tcPr>
            <w:tcW w:w="5378" w:type="dxa"/>
            <w:noWrap w:val="0"/>
            <w:vAlign w:val="center"/>
          </w:tcPr>
          <w:p w14:paraId="382D54A1">
            <w:pPr>
              <w:spacing w:line="360" w:lineRule="auto"/>
              <w:rPr>
                <w:rFonts w:hint="default"/>
                <w:color w:val="auto"/>
                <w:highlight w:val="none"/>
                <w:lang w:val="en-US" w:eastAsia="zh-CN"/>
              </w:rPr>
            </w:pPr>
            <w:r>
              <w:rPr>
                <w:rFonts w:hint="eastAsia"/>
                <w:color w:val="auto"/>
                <w:highlight w:val="none"/>
              </w:rPr>
              <w:t>根据拟投入本项目的项目团队人员</w:t>
            </w:r>
            <w:r>
              <w:rPr>
                <w:rFonts w:hint="eastAsia"/>
                <w:color w:val="auto"/>
                <w:highlight w:val="none"/>
                <w:lang w:val="en-US" w:eastAsia="zh-CN"/>
              </w:rPr>
              <w:t>和</w:t>
            </w:r>
            <w:r>
              <w:rPr>
                <w:rFonts w:hint="eastAsia"/>
                <w:color w:val="auto"/>
                <w:highlight w:val="none"/>
              </w:rPr>
              <w:t>具备专业技能证书情况评价</w:t>
            </w:r>
            <w:r>
              <w:rPr>
                <w:rFonts w:hint="eastAsia"/>
                <w:color w:val="auto"/>
                <w:highlight w:val="none"/>
                <w:lang w:eastAsia="zh-CN"/>
              </w:rPr>
              <w:t>：</w:t>
            </w:r>
          </w:p>
          <w:p w14:paraId="7E1FD215">
            <w:pPr>
              <w:pStyle w:val="20"/>
              <w:spacing w:line="360" w:lineRule="auto"/>
              <w:rPr>
                <w:rFonts w:hAnsi="宋体" w:cs="宋体"/>
                <w:color w:val="auto"/>
                <w:sz w:val="21"/>
                <w:highlight w:val="none"/>
              </w:rPr>
            </w:pPr>
            <w:r>
              <w:rPr>
                <w:rFonts w:hint="eastAsia" w:hAnsi="宋体" w:cs="宋体"/>
                <w:color w:val="auto"/>
                <w:sz w:val="21"/>
                <w:highlight w:val="none"/>
              </w:rPr>
              <w:t>一档(</w:t>
            </w:r>
            <w:r>
              <w:rPr>
                <w:rFonts w:hint="eastAsia" w:hAnsi="宋体" w:cs="宋体"/>
                <w:color w:val="auto"/>
                <w:sz w:val="21"/>
                <w:highlight w:val="none"/>
                <w:lang w:val="en-US" w:eastAsia="zh-CN"/>
              </w:rPr>
              <w:t>8</w:t>
            </w:r>
            <w:r>
              <w:rPr>
                <w:rFonts w:hint="eastAsia" w:hAnsi="宋体" w:cs="宋体"/>
                <w:color w:val="auto"/>
                <w:sz w:val="21"/>
                <w:highlight w:val="none"/>
              </w:rPr>
              <w:t>分):</w:t>
            </w:r>
            <w:r>
              <w:rPr>
                <w:rFonts w:hint="eastAsia" w:hAnsi="宋体" w:cs="宋体"/>
                <w:color w:val="auto"/>
                <w:sz w:val="21"/>
                <w:highlight w:val="none"/>
                <w:lang w:val="en-US" w:eastAsia="zh-CN"/>
              </w:rPr>
              <w:t>投入本项目的项目经理1人，具备</w:t>
            </w:r>
            <w:r>
              <w:rPr>
                <w:rFonts w:hint="eastAsia" w:hAnsi="宋体" w:cs="宋体"/>
                <w:color w:val="auto"/>
                <w:sz w:val="21"/>
                <w:highlight w:val="none"/>
                <w:lang w:val="en-US" w:eastAsia="zh-CN"/>
              </w:rPr>
              <w:t>注册信息安全专业人员证书</w:t>
            </w:r>
            <w:r>
              <w:rPr>
                <w:rFonts w:hint="eastAsia" w:hAnsi="宋体" w:cs="宋体"/>
                <w:color w:val="auto"/>
                <w:sz w:val="21"/>
                <w:highlight w:val="none"/>
                <w:lang w:val="en-US" w:eastAsia="zh-CN"/>
              </w:rPr>
              <w:t>；投入本项目的项目团队成员1人，具备</w:t>
            </w:r>
            <w:r>
              <w:rPr>
                <w:rFonts w:hint="eastAsia" w:hAnsi="宋体" w:cs="宋体"/>
                <w:color w:val="auto"/>
                <w:sz w:val="21"/>
                <w:highlight w:val="none"/>
                <w:lang w:val="en-US" w:eastAsia="zh-CN"/>
              </w:rPr>
              <w:t>注册信息安全专业人员证书</w:t>
            </w:r>
            <w:r>
              <w:rPr>
                <w:rFonts w:hint="eastAsia" w:hAnsi="宋体" w:cs="宋体"/>
                <w:color w:val="auto"/>
                <w:sz w:val="21"/>
                <w:highlight w:val="none"/>
              </w:rPr>
              <w:t>。</w:t>
            </w:r>
          </w:p>
          <w:p w14:paraId="0F644F66">
            <w:pPr>
              <w:pStyle w:val="20"/>
              <w:spacing w:line="360" w:lineRule="auto"/>
              <w:rPr>
                <w:rFonts w:hAnsi="宋体" w:cs="宋体"/>
                <w:color w:val="auto"/>
                <w:sz w:val="21"/>
                <w:highlight w:val="none"/>
              </w:rPr>
            </w:pPr>
            <w:r>
              <w:rPr>
                <w:rFonts w:hint="eastAsia" w:hAnsi="宋体" w:cs="宋体"/>
                <w:color w:val="auto"/>
                <w:sz w:val="21"/>
                <w:highlight w:val="none"/>
              </w:rPr>
              <w:t>二档(</w:t>
            </w:r>
            <w:r>
              <w:rPr>
                <w:rFonts w:hint="eastAsia" w:hAnsi="宋体" w:cs="宋体"/>
                <w:color w:val="auto"/>
                <w:sz w:val="21"/>
                <w:highlight w:val="none"/>
                <w:lang w:val="en-US" w:eastAsia="zh-CN"/>
              </w:rPr>
              <w:t>12</w:t>
            </w:r>
            <w:r>
              <w:rPr>
                <w:rFonts w:hint="eastAsia" w:hAnsi="宋体" w:cs="宋体"/>
                <w:color w:val="auto"/>
                <w:sz w:val="21"/>
                <w:highlight w:val="none"/>
              </w:rPr>
              <w:t>分）:</w:t>
            </w:r>
            <w:r>
              <w:rPr>
                <w:rFonts w:hint="eastAsia" w:hAnsi="宋体" w:cs="宋体"/>
                <w:color w:val="auto"/>
                <w:sz w:val="21"/>
                <w:highlight w:val="none"/>
                <w:lang w:val="en-US" w:eastAsia="zh-CN"/>
              </w:rPr>
              <w:t>投入本项目的项目经理1人，具备</w:t>
            </w:r>
            <w:r>
              <w:rPr>
                <w:rFonts w:hint="eastAsia" w:hAnsi="宋体" w:cs="宋体"/>
                <w:color w:val="auto"/>
                <w:sz w:val="21"/>
                <w:highlight w:val="none"/>
                <w:lang w:val="en-US" w:eastAsia="zh-CN"/>
              </w:rPr>
              <w:t>注册信息安全专业人员证书</w:t>
            </w:r>
            <w:r>
              <w:rPr>
                <w:rFonts w:hint="eastAsia" w:hAnsi="宋体" w:cs="宋体"/>
                <w:color w:val="auto"/>
                <w:sz w:val="21"/>
                <w:highlight w:val="none"/>
                <w:lang w:val="en-US" w:eastAsia="zh-CN"/>
              </w:rPr>
              <w:t>和信息系统运维管理工程师（高级）证书；投入本项目的项目团队成员1人，具备</w:t>
            </w:r>
            <w:r>
              <w:rPr>
                <w:rFonts w:hint="eastAsia" w:hAnsi="宋体" w:cs="宋体"/>
                <w:color w:val="auto"/>
                <w:sz w:val="21"/>
                <w:highlight w:val="none"/>
                <w:lang w:val="en-US" w:eastAsia="zh-CN"/>
              </w:rPr>
              <w:t>注册信息安全专业人员证书</w:t>
            </w:r>
            <w:r>
              <w:rPr>
                <w:rFonts w:hint="eastAsia" w:hAnsi="宋体" w:cs="宋体"/>
                <w:color w:val="auto"/>
                <w:sz w:val="21"/>
                <w:highlight w:val="none"/>
                <w:lang w:val="en-US" w:eastAsia="zh-CN"/>
              </w:rPr>
              <w:t>和网络与信息安全管理师(高级)证书</w:t>
            </w:r>
            <w:r>
              <w:rPr>
                <w:rFonts w:hint="eastAsia" w:hAnsi="宋体" w:cs="宋体"/>
                <w:color w:val="auto"/>
                <w:sz w:val="21"/>
                <w:highlight w:val="none"/>
              </w:rPr>
              <w:t>。</w:t>
            </w:r>
          </w:p>
          <w:p w14:paraId="31C47944">
            <w:pPr>
              <w:pStyle w:val="20"/>
              <w:spacing w:line="360" w:lineRule="auto"/>
              <w:rPr>
                <w:rFonts w:hint="eastAsia"/>
                <w:color w:val="auto"/>
                <w:highlight w:val="none"/>
                <w:lang w:eastAsia="zh-CN"/>
              </w:rPr>
            </w:pPr>
            <w:r>
              <w:rPr>
                <w:rFonts w:hint="eastAsia" w:hAnsi="宋体" w:cs="宋体"/>
                <w:color w:val="auto"/>
                <w:sz w:val="21"/>
                <w:highlight w:val="none"/>
              </w:rPr>
              <w:t>三档(</w:t>
            </w:r>
            <w:r>
              <w:rPr>
                <w:rFonts w:hint="eastAsia" w:hAnsi="宋体" w:cs="宋体"/>
                <w:color w:val="auto"/>
                <w:sz w:val="21"/>
                <w:highlight w:val="none"/>
                <w:lang w:val="en-US" w:eastAsia="zh-CN"/>
              </w:rPr>
              <w:t>15</w:t>
            </w:r>
            <w:r>
              <w:rPr>
                <w:rFonts w:hint="eastAsia" w:hAnsi="宋体" w:cs="宋体"/>
                <w:color w:val="auto"/>
                <w:sz w:val="21"/>
                <w:highlight w:val="none"/>
              </w:rPr>
              <w:t>分）:</w:t>
            </w:r>
            <w:r>
              <w:rPr>
                <w:rFonts w:hint="eastAsia" w:hAnsi="宋体" w:cs="宋体"/>
                <w:color w:val="auto"/>
                <w:sz w:val="21"/>
                <w:highlight w:val="none"/>
                <w:lang w:val="en-US" w:eastAsia="zh-CN"/>
              </w:rPr>
              <w:t>投入本项目的项目经理1人，具备</w:t>
            </w:r>
            <w:r>
              <w:rPr>
                <w:rFonts w:hint="eastAsia" w:hAnsi="宋体" w:cs="宋体"/>
                <w:color w:val="auto"/>
                <w:sz w:val="21"/>
                <w:highlight w:val="none"/>
                <w:lang w:val="en-US" w:eastAsia="zh-CN"/>
              </w:rPr>
              <w:t>注册信息安全专业人员证书</w:t>
            </w:r>
            <w:r>
              <w:rPr>
                <w:rFonts w:hint="eastAsia" w:hAnsi="宋体" w:cs="宋体"/>
                <w:color w:val="auto"/>
                <w:sz w:val="21"/>
                <w:highlight w:val="none"/>
                <w:lang w:val="en-US" w:eastAsia="zh-CN"/>
              </w:rPr>
              <w:t>和信息系统运维管理工程师（高级）证书；投入本项目的项目团队成员≥2人，每个项目团队成员都具备</w:t>
            </w:r>
            <w:r>
              <w:rPr>
                <w:rFonts w:hint="eastAsia" w:hAnsi="宋体" w:cs="宋体"/>
                <w:color w:val="auto"/>
                <w:sz w:val="21"/>
                <w:highlight w:val="none"/>
                <w:lang w:val="en-US" w:eastAsia="zh-CN"/>
              </w:rPr>
              <w:t>注册信息安全专业人员证书</w:t>
            </w:r>
            <w:r>
              <w:rPr>
                <w:rFonts w:hint="eastAsia" w:hAnsi="宋体" w:cs="宋体"/>
                <w:color w:val="auto"/>
                <w:sz w:val="21"/>
                <w:highlight w:val="none"/>
                <w:lang w:val="en-US" w:eastAsia="zh-CN"/>
              </w:rPr>
              <w:t>和网络与信息安全管理师(高级)证书</w:t>
            </w:r>
            <w:r>
              <w:rPr>
                <w:rFonts w:hint="eastAsia" w:hAnsi="宋体" w:cs="宋体"/>
                <w:color w:val="auto"/>
                <w:sz w:val="21"/>
                <w:highlight w:val="none"/>
              </w:rPr>
              <w:t>。</w:t>
            </w:r>
          </w:p>
        </w:tc>
        <w:tc>
          <w:tcPr>
            <w:tcW w:w="1310" w:type="dxa"/>
            <w:noWrap w:val="0"/>
            <w:vAlign w:val="center"/>
          </w:tcPr>
          <w:p w14:paraId="45703FD7">
            <w:pPr>
              <w:spacing w:line="360" w:lineRule="auto"/>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15分</w:t>
            </w:r>
          </w:p>
        </w:tc>
      </w:tr>
      <w:tr w14:paraId="5D48F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8" w:type="dxa"/>
            <w:noWrap w:val="0"/>
            <w:vAlign w:val="center"/>
          </w:tcPr>
          <w:p w14:paraId="176E902B">
            <w:pPr>
              <w:widowControl/>
              <w:spacing w:line="360" w:lineRule="auto"/>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4</w:t>
            </w:r>
          </w:p>
        </w:tc>
        <w:tc>
          <w:tcPr>
            <w:tcW w:w="2175" w:type="dxa"/>
            <w:noWrap w:val="0"/>
            <w:vAlign w:val="center"/>
          </w:tcPr>
          <w:p w14:paraId="7B2F3EBA">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整体系统</w:t>
            </w:r>
          </w:p>
          <w:p w14:paraId="3C04833A">
            <w:pPr>
              <w:spacing w:line="360" w:lineRule="auto"/>
              <w:jc w:val="center"/>
              <w:rPr>
                <w:color w:val="auto"/>
                <w:highlight w:val="none"/>
              </w:rPr>
            </w:pPr>
            <w:r>
              <w:rPr>
                <w:rFonts w:hint="eastAsia" w:ascii="宋体" w:hAnsi="宋体" w:cs="宋体"/>
                <w:b/>
                <w:bCs/>
                <w:color w:val="auto"/>
                <w:sz w:val="24"/>
                <w:highlight w:val="none"/>
              </w:rPr>
              <w:t>技术方案分</w:t>
            </w:r>
          </w:p>
          <w:p w14:paraId="715E7F8B">
            <w:pPr>
              <w:pStyle w:val="34"/>
              <w:ind w:left="0" w:leftChars="0" w:firstLine="0" w:firstLineChars="0"/>
              <w:jc w:val="center"/>
              <w:rPr>
                <w:rFonts w:hint="eastAsia" w:eastAsia="仿宋_GB2312"/>
                <w:color w:val="auto"/>
                <w:highlight w:val="none"/>
                <w:lang w:eastAsia="zh-CN"/>
              </w:rPr>
            </w:pPr>
            <w:r>
              <w:rPr>
                <w:rFonts w:hint="eastAsia" w:ascii="宋体" w:hAnsi="宋体" w:eastAsia="宋体" w:cs="宋体"/>
                <w:b/>
                <w:bCs/>
                <w:color w:val="auto"/>
                <w:sz w:val="24"/>
                <w:szCs w:val="24"/>
                <w:highlight w:val="none"/>
                <w:lang w:val="en-US" w:eastAsia="zh-CN" w:bidi="ar-SA"/>
              </w:rPr>
              <w:t>（满分15分）</w:t>
            </w:r>
          </w:p>
        </w:tc>
        <w:tc>
          <w:tcPr>
            <w:tcW w:w="5378" w:type="dxa"/>
            <w:noWrap w:val="0"/>
            <w:vAlign w:val="center"/>
          </w:tcPr>
          <w:p w14:paraId="42C5681F">
            <w:pPr>
              <w:pStyle w:val="20"/>
              <w:spacing w:line="360" w:lineRule="auto"/>
              <w:rPr>
                <w:rFonts w:hint="eastAsia" w:hAnsi="宋体" w:cs="宋体"/>
                <w:color w:val="auto"/>
                <w:sz w:val="21"/>
                <w:highlight w:val="none"/>
              </w:rPr>
            </w:pPr>
            <w:r>
              <w:rPr>
                <w:rFonts w:hint="eastAsia" w:hAnsi="宋体" w:cs="宋体"/>
                <w:color w:val="auto"/>
                <w:sz w:val="21"/>
                <w:highlight w:val="none"/>
              </w:rPr>
              <w:t>根据</w:t>
            </w:r>
            <w:r>
              <w:rPr>
                <w:rFonts w:hint="eastAsia" w:hAnsi="宋体" w:cs="宋体"/>
                <w:color w:val="auto"/>
                <w:sz w:val="21"/>
                <w:highlight w:val="none"/>
                <w:lang w:eastAsia="zh-CN"/>
              </w:rPr>
              <w:t>供应商</w:t>
            </w:r>
            <w:r>
              <w:rPr>
                <w:rFonts w:hint="eastAsia" w:hAnsi="宋体" w:cs="宋体"/>
                <w:color w:val="auto"/>
                <w:sz w:val="21"/>
                <w:highlight w:val="none"/>
              </w:rPr>
              <w:t>提供的技术方案</w:t>
            </w:r>
            <w:r>
              <w:rPr>
                <w:rFonts w:hint="eastAsia" w:hAnsi="宋体" w:cs="宋体"/>
                <w:color w:val="auto"/>
                <w:sz w:val="21"/>
                <w:highlight w:val="none"/>
                <w:lang w:eastAsia="zh-CN"/>
              </w:rPr>
              <w:t>，</w:t>
            </w:r>
            <w:r>
              <w:rPr>
                <w:rFonts w:hint="eastAsia" w:hAnsi="宋体" w:cs="宋体"/>
                <w:color w:val="auto"/>
                <w:sz w:val="21"/>
                <w:highlight w:val="none"/>
              </w:rPr>
              <w:t>包括但不限于对项目的理解和认知、需求分析、设计思路、设计方案、设计依据等方面进行综合评分。</w:t>
            </w:r>
          </w:p>
          <w:p w14:paraId="64AE29FC">
            <w:pPr>
              <w:pStyle w:val="20"/>
              <w:spacing w:line="360" w:lineRule="auto"/>
              <w:rPr>
                <w:rFonts w:hint="eastAsia" w:hAnsi="宋体" w:cs="宋体"/>
                <w:color w:val="auto"/>
                <w:sz w:val="21"/>
                <w:highlight w:val="none"/>
              </w:rPr>
            </w:pPr>
            <w:r>
              <w:rPr>
                <w:rFonts w:hint="eastAsia" w:hAnsi="宋体" w:cs="宋体"/>
                <w:color w:val="auto"/>
                <w:sz w:val="21"/>
                <w:highlight w:val="none"/>
              </w:rPr>
              <w:t>一档(</w:t>
            </w:r>
            <w:r>
              <w:rPr>
                <w:rFonts w:hint="eastAsia" w:hAnsi="宋体" w:cs="宋体"/>
                <w:color w:val="auto"/>
                <w:sz w:val="21"/>
                <w:highlight w:val="none"/>
                <w:lang w:val="en-US" w:eastAsia="zh-CN"/>
              </w:rPr>
              <w:t>8</w:t>
            </w:r>
            <w:r>
              <w:rPr>
                <w:rFonts w:hint="eastAsia" w:hAnsi="宋体" w:cs="宋体"/>
                <w:color w:val="auto"/>
                <w:sz w:val="21"/>
                <w:highlight w:val="none"/>
              </w:rPr>
              <w:t>分)：技术方案简单初步满足项目系统运行；</w:t>
            </w:r>
          </w:p>
          <w:p w14:paraId="14D815D8">
            <w:pPr>
              <w:pStyle w:val="20"/>
              <w:spacing w:line="360" w:lineRule="auto"/>
              <w:rPr>
                <w:rFonts w:hint="eastAsia" w:hAnsi="宋体" w:cs="宋体"/>
                <w:color w:val="auto"/>
                <w:sz w:val="21"/>
                <w:highlight w:val="none"/>
              </w:rPr>
            </w:pPr>
            <w:r>
              <w:rPr>
                <w:rFonts w:hint="eastAsia" w:hAnsi="宋体" w:cs="宋体"/>
                <w:color w:val="auto"/>
                <w:sz w:val="21"/>
                <w:highlight w:val="none"/>
              </w:rPr>
              <w:t>二档(</w:t>
            </w:r>
            <w:r>
              <w:rPr>
                <w:rFonts w:hint="eastAsia" w:hAnsi="宋体" w:cs="宋体"/>
                <w:color w:val="auto"/>
                <w:sz w:val="21"/>
                <w:highlight w:val="none"/>
                <w:lang w:val="en-US" w:eastAsia="zh-CN"/>
              </w:rPr>
              <w:t>12</w:t>
            </w:r>
            <w:r>
              <w:rPr>
                <w:rFonts w:hint="eastAsia" w:hAnsi="宋体" w:cs="宋体"/>
                <w:color w:val="auto"/>
                <w:sz w:val="21"/>
                <w:highlight w:val="none"/>
              </w:rPr>
              <w:t>分）：满足“一档”基础上；技术方案较全面、对项目的理解和认知可行、项目需求分析可行、设计思路合理、设计方案、设计依据可行的能够满足项目重要技术指标需求；</w:t>
            </w:r>
          </w:p>
          <w:p w14:paraId="2BC4AACF">
            <w:pPr>
              <w:pStyle w:val="20"/>
              <w:spacing w:line="360" w:lineRule="auto"/>
              <w:rPr>
                <w:rFonts w:hint="eastAsia" w:hAnsi="宋体" w:cs="宋体"/>
                <w:color w:val="auto"/>
                <w:sz w:val="21"/>
                <w:highlight w:val="none"/>
              </w:rPr>
            </w:pPr>
            <w:r>
              <w:rPr>
                <w:rFonts w:hint="eastAsia" w:hAnsi="宋体" w:cs="宋体"/>
                <w:color w:val="auto"/>
                <w:sz w:val="21"/>
                <w:highlight w:val="none"/>
              </w:rPr>
              <w:t>三档(</w:t>
            </w:r>
            <w:r>
              <w:rPr>
                <w:rFonts w:hint="eastAsia" w:hAnsi="宋体" w:cs="宋体"/>
                <w:color w:val="auto"/>
                <w:sz w:val="21"/>
                <w:highlight w:val="none"/>
                <w:lang w:val="en-US" w:eastAsia="zh-CN"/>
              </w:rPr>
              <w:t>15</w:t>
            </w:r>
            <w:r>
              <w:rPr>
                <w:rFonts w:hint="eastAsia" w:hAnsi="宋体" w:cs="宋体"/>
                <w:color w:val="auto"/>
                <w:sz w:val="21"/>
                <w:highlight w:val="none"/>
              </w:rPr>
              <w:t>分）：满足“二档”基础上；技术方案全面、对项目的理解和认知深刻、项目需求分析到位、设计思路清晰、设计方案合理、设计依据可行的完全满足或优于项目全部技术要求需求</w:t>
            </w:r>
            <w:r>
              <w:rPr>
                <w:rFonts w:hint="eastAsia" w:hAnsi="宋体" w:cs="宋体"/>
                <w:color w:val="auto"/>
                <w:sz w:val="21"/>
                <w:highlight w:val="none"/>
                <w:lang w:eastAsia="zh-CN"/>
              </w:rPr>
              <w:t>；供应商或其上级公司（直接管理关系或法人关系）提供</w:t>
            </w:r>
            <w:r>
              <w:rPr>
                <w:rFonts w:hint="eastAsia" w:hAnsi="宋体" w:cs="宋体"/>
                <w:color w:val="auto"/>
                <w:sz w:val="21"/>
                <w:highlight w:val="none"/>
              </w:rPr>
              <w:t>通过GB/T24353/ISO31000风险管理体系认证（认证范围须包含：云业务</w:t>
            </w:r>
            <w:r>
              <w:rPr>
                <w:rFonts w:hint="eastAsia" w:hAnsi="宋体" w:cs="宋体"/>
                <w:color w:val="auto"/>
                <w:sz w:val="21"/>
                <w:highlight w:val="none"/>
                <w:lang w:eastAsia="zh-CN"/>
              </w:rPr>
              <w:t>：</w:t>
            </w:r>
            <w:r>
              <w:rPr>
                <w:rFonts w:hint="eastAsia" w:hAnsi="宋体" w:cs="宋体"/>
                <w:color w:val="auto"/>
                <w:sz w:val="21"/>
                <w:highlight w:val="none"/>
              </w:rPr>
              <w:t>网络及信息安全管理，信息系统集成（含安防系统)</w:t>
            </w:r>
            <w:r>
              <w:rPr>
                <w:rFonts w:hint="eastAsia" w:hAnsi="宋体" w:cs="宋体"/>
                <w:color w:val="auto"/>
                <w:sz w:val="21"/>
                <w:highlight w:val="none"/>
                <w:lang w:eastAsia="zh-CN"/>
              </w:rPr>
              <w:t>；</w:t>
            </w:r>
            <w:r>
              <w:rPr>
                <w:rFonts w:hint="eastAsia" w:hAnsi="宋体" w:cs="宋体"/>
                <w:color w:val="auto"/>
                <w:sz w:val="21"/>
                <w:highlight w:val="none"/>
              </w:rPr>
              <w:t>通信及信息业务相关的建设及运维(含云平台)）的。</w:t>
            </w:r>
          </w:p>
        </w:tc>
        <w:tc>
          <w:tcPr>
            <w:tcW w:w="1310" w:type="dxa"/>
            <w:noWrap w:val="0"/>
            <w:vAlign w:val="center"/>
          </w:tcPr>
          <w:p w14:paraId="3C22AA86">
            <w:pPr>
              <w:spacing w:line="360" w:lineRule="auto"/>
              <w:jc w:val="center"/>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15</w:t>
            </w:r>
          </w:p>
        </w:tc>
      </w:tr>
      <w:tr w14:paraId="22DB0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8" w:type="dxa"/>
            <w:noWrap w:val="0"/>
            <w:vAlign w:val="center"/>
          </w:tcPr>
          <w:p w14:paraId="6A963122">
            <w:pPr>
              <w:widowControl/>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5</w:t>
            </w:r>
          </w:p>
        </w:tc>
        <w:tc>
          <w:tcPr>
            <w:tcW w:w="2175" w:type="dxa"/>
            <w:noWrap w:val="0"/>
            <w:vAlign w:val="center"/>
          </w:tcPr>
          <w:p w14:paraId="74859506">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lang w:val="en-US" w:eastAsia="zh-CN"/>
              </w:rPr>
              <w:t>运维</w:t>
            </w:r>
            <w:r>
              <w:rPr>
                <w:rFonts w:hint="eastAsia" w:ascii="宋体" w:hAnsi="宋体" w:cs="宋体"/>
                <w:b/>
                <w:bCs/>
                <w:color w:val="auto"/>
                <w:sz w:val="24"/>
                <w:highlight w:val="none"/>
              </w:rPr>
              <w:t>服务承诺分（满分</w:t>
            </w:r>
            <w:r>
              <w:rPr>
                <w:rFonts w:hint="eastAsia" w:ascii="宋体" w:hAnsi="宋体" w:cs="宋体"/>
                <w:b/>
                <w:bCs/>
                <w:color w:val="auto"/>
                <w:sz w:val="24"/>
                <w:highlight w:val="none"/>
                <w:lang w:val="en-US" w:eastAsia="zh-CN"/>
              </w:rPr>
              <w:t>15</w:t>
            </w:r>
            <w:r>
              <w:rPr>
                <w:rFonts w:hint="eastAsia" w:ascii="宋体" w:hAnsi="宋体" w:cs="宋体"/>
                <w:b/>
                <w:bCs/>
                <w:color w:val="auto"/>
                <w:sz w:val="24"/>
                <w:highlight w:val="none"/>
              </w:rPr>
              <w:t>分）</w:t>
            </w:r>
          </w:p>
        </w:tc>
        <w:tc>
          <w:tcPr>
            <w:tcW w:w="5378" w:type="dxa"/>
            <w:noWrap w:val="0"/>
            <w:vAlign w:val="center"/>
          </w:tcPr>
          <w:p w14:paraId="09B3E36F">
            <w:pPr>
              <w:pStyle w:val="20"/>
              <w:spacing w:line="360" w:lineRule="auto"/>
              <w:rPr>
                <w:rFonts w:hAnsi="宋体" w:cs="宋体"/>
                <w:color w:val="auto"/>
                <w:sz w:val="21"/>
                <w:highlight w:val="none"/>
              </w:rPr>
            </w:pPr>
            <w:r>
              <w:rPr>
                <w:rFonts w:hint="eastAsia" w:hAnsi="宋体" w:cs="宋体"/>
                <w:color w:val="auto"/>
                <w:sz w:val="21"/>
                <w:highlight w:val="none"/>
                <w:lang w:val="en-US" w:eastAsia="zh-CN"/>
              </w:rPr>
              <w:t>运维</w:t>
            </w:r>
            <w:r>
              <w:rPr>
                <w:rFonts w:hint="eastAsia" w:hAnsi="宋体" w:cs="宋体"/>
                <w:color w:val="auto"/>
                <w:sz w:val="21"/>
                <w:highlight w:val="none"/>
              </w:rPr>
              <w:t>服务承诺</w:t>
            </w:r>
          </w:p>
          <w:p w14:paraId="3CE05BBA">
            <w:pPr>
              <w:pStyle w:val="20"/>
              <w:spacing w:line="360" w:lineRule="auto"/>
              <w:rPr>
                <w:rFonts w:hAnsi="宋体" w:cs="宋体"/>
                <w:color w:val="auto"/>
                <w:sz w:val="21"/>
                <w:highlight w:val="none"/>
              </w:rPr>
            </w:pPr>
            <w:r>
              <w:rPr>
                <w:rFonts w:hint="eastAsia" w:hAnsi="宋体" w:cs="宋体"/>
                <w:color w:val="auto"/>
                <w:sz w:val="21"/>
                <w:highlight w:val="none"/>
              </w:rPr>
              <w:t>一档(</w:t>
            </w:r>
            <w:r>
              <w:rPr>
                <w:rFonts w:hint="eastAsia" w:hAnsi="宋体" w:cs="宋体"/>
                <w:color w:val="auto"/>
                <w:sz w:val="21"/>
                <w:highlight w:val="none"/>
                <w:lang w:val="en-US" w:eastAsia="zh-CN"/>
              </w:rPr>
              <w:t>8</w:t>
            </w:r>
            <w:r>
              <w:rPr>
                <w:rFonts w:hint="eastAsia" w:hAnsi="宋体" w:cs="宋体"/>
                <w:color w:val="auto"/>
                <w:sz w:val="21"/>
                <w:highlight w:val="none"/>
              </w:rPr>
              <w:t>分):后续</w:t>
            </w:r>
            <w:r>
              <w:rPr>
                <w:rFonts w:hint="eastAsia" w:hAnsi="宋体" w:cs="宋体"/>
                <w:color w:val="auto"/>
                <w:sz w:val="21"/>
                <w:highlight w:val="none"/>
                <w:lang w:val="en-US" w:eastAsia="zh-CN"/>
              </w:rPr>
              <w:t>运维</w:t>
            </w:r>
            <w:r>
              <w:rPr>
                <w:rFonts w:hint="eastAsia" w:hAnsi="宋体" w:cs="宋体"/>
                <w:color w:val="auto"/>
                <w:sz w:val="21"/>
                <w:highlight w:val="none"/>
              </w:rPr>
              <w:t>服务计划详细度、合理性一般，响应速度一般，针对本项目提供的后续</w:t>
            </w:r>
            <w:r>
              <w:rPr>
                <w:rFonts w:hint="eastAsia" w:hAnsi="宋体" w:cs="宋体"/>
                <w:color w:val="auto"/>
                <w:sz w:val="21"/>
                <w:highlight w:val="none"/>
                <w:lang w:val="en-US" w:eastAsia="zh-CN"/>
              </w:rPr>
              <w:t>运维</w:t>
            </w:r>
            <w:r>
              <w:rPr>
                <w:rFonts w:hint="eastAsia" w:hAnsi="宋体" w:cs="宋体"/>
                <w:color w:val="auto"/>
                <w:sz w:val="21"/>
                <w:highlight w:val="none"/>
              </w:rPr>
              <w:t>服务能力一般。</w:t>
            </w:r>
            <w:r>
              <w:rPr>
                <w:rFonts w:hint="eastAsia" w:hAnsi="宋体" w:cs="宋体"/>
                <w:color w:val="auto"/>
                <w:sz w:val="21"/>
                <w:highlight w:val="none"/>
              </w:rPr>
              <w:t>供应商承诺接到故障通知后在1小时内响应，</w:t>
            </w:r>
            <w:r>
              <w:rPr>
                <w:rFonts w:hint="eastAsia" w:hAnsi="宋体" w:cs="宋体"/>
                <w:color w:val="auto"/>
                <w:sz w:val="21"/>
                <w:highlight w:val="none"/>
                <w:lang w:val="en-US" w:eastAsia="zh-CN"/>
              </w:rPr>
              <w:t>24</w:t>
            </w:r>
            <w:r>
              <w:rPr>
                <w:rFonts w:hint="eastAsia" w:hAnsi="宋体" w:cs="宋体"/>
                <w:color w:val="auto"/>
                <w:sz w:val="21"/>
                <w:highlight w:val="none"/>
              </w:rPr>
              <w:t>小时内到达现场处理，一般故障24小时内解决问题，重大故障60小时内解决问题。</w:t>
            </w:r>
            <w:r>
              <w:rPr>
                <w:rFonts w:hint="eastAsia" w:hAnsi="宋体" w:cs="宋体"/>
                <w:color w:val="auto"/>
                <w:sz w:val="21"/>
                <w:highlight w:val="none"/>
              </w:rPr>
              <w:t>并提供针对该项的承诺函。</w:t>
            </w:r>
          </w:p>
          <w:p w14:paraId="197307D5">
            <w:pPr>
              <w:pStyle w:val="20"/>
              <w:spacing w:line="360" w:lineRule="auto"/>
              <w:rPr>
                <w:rFonts w:hAnsi="宋体" w:cs="宋体"/>
                <w:color w:val="auto"/>
                <w:sz w:val="21"/>
                <w:highlight w:val="none"/>
              </w:rPr>
            </w:pPr>
            <w:r>
              <w:rPr>
                <w:rFonts w:hint="eastAsia" w:hAnsi="宋体" w:cs="宋体"/>
                <w:color w:val="auto"/>
                <w:sz w:val="21"/>
                <w:highlight w:val="none"/>
                <w:lang w:val="en-US" w:eastAsia="zh-CN"/>
              </w:rPr>
              <w:t>二</w:t>
            </w:r>
            <w:r>
              <w:rPr>
                <w:rFonts w:hint="eastAsia" w:hAnsi="宋体" w:cs="宋体"/>
                <w:color w:val="auto"/>
                <w:sz w:val="21"/>
                <w:highlight w:val="none"/>
              </w:rPr>
              <w:t>档(</w:t>
            </w:r>
            <w:r>
              <w:rPr>
                <w:rFonts w:hint="eastAsia" w:hAnsi="宋体" w:cs="宋体"/>
                <w:color w:val="auto"/>
                <w:sz w:val="21"/>
                <w:highlight w:val="none"/>
                <w:lang w:val="en-US" w:eastAsia="zh-CN"/>
              </w:rPr>
              <w:t>12</w:t>
            </w:r>
            <w:r>
              <w:rPr>
                <w:rFonts w:hint="eastAsia" w:hAnsi="宋体" w:cs="宋体"/>
                <w:color w:val="auto"/>
                <w:sz w:val="21"/>
                <w:highlight w:val="none"/>
              </w:rPr>
              <w:t>分）:后续</w:t>
            </w:r>
            <w:r>
              <w:rPr>
                <w:rFonts w:hint="eastAsia" w:hAnsi="宋体" w:cs="宋体"/>
                <w:color w:val="auto"/>
                <w:sz w:val="21"/>
                <w:highlight w:val="none"/>
                <w:lang w:val="en-US" w:eastAsia="zh-CN"/>
              </w:rPr>
              <w:t>运维</w:t>
            </w:r>
            <w:r>
              <w:rPr>
                <w:rFonts w:hint="eastAsia" w:hAnsi="宋体" w:cs="宋体"/>
                <w:color w:val="auto"/>
                <w:sz w:val="21"/>
                <w:highlight w:val="none"/>
              </w:rPr>
              <w:t>服务计划比较详细、较合理，响应速度较快，承诺针对本项目提供较为及时、专业化的后续</w:t>
            </w:r>
            <w:r>
              <w:rPr>
                <w:rFonts w:hint="eastAsia" w:hAnsi="宋体" w:cs="宋体"/>
                <w:color w:val="auto"/>
                <w:sz w:val="21"/>
                <w:highlight w:val="none"/>
                <w:lang w:val="en-US" w:eastAsia="zh-CN"/>
              </w:rPr>
              <w:t>运维</w:t>
            </w:r>
            <w:r>
              <w:rPr>
                <w:rFonts w:hint="eastAsia" w:hAnsi="宋体" w:cs="宋体"/>
                <w:color w:val="auto"/>
                <w:sz w:val="21"/>
                <w:highlight w:val="none"/>
              </w:rPr>
              <w:t>服务的。</w:t>
            </w:r>
            <w:r>
              <w:rPr>
                <w:rFonts w:hint="eastAsia" w:hAnsi="宋体" w:cs="宋体"/>
                <w:color w:val="auto"/>
                <w:sz w:val="21"/>
                <w:highlight w:val="none"/>
              </w:rPr>
              <w:t>供应商承诺在接到</w:t>
            </w:r>
            <w:r>
              <w:rPr>
                <w:rFonts w:hint="eastAsia" w:hAnsi="宋体" w:cs="宋体"/>
                <w:color w:val="auto"/>
                <w:sz w:val="21"/>
                <w:highlight w:val="none"/>
                <w:lang w:eastAsia="zh-CN"/>
              </w:rPr>
              <w:t>采购人</w:t>
            </w:r>
            <w:r>
              <w:rPr>
                <w:rFonts w:hint="eastAsia" w:hAnsi="宋体" w:cs="宋体"/>
                <w:color w:val="auto"/>
                <w:sz w:val="21"/>
                <w:highlight w:val="none"/>
              </w:rPr>
              <w:t>或使用方通知后在1小时内响应，</w:t>
            </w:r>
            <w:r>
              <w:rPr>
                <w:rFonts w:hint="eastAsia" w:hAnsi="宋体" w:cs="宋体"/>
                <w:color w:val="auto"/>
                <w:sz w:val="21"/>
                <w:highlight w:val="none"/>
                <w:lang w:val="en-US" w:eastAsia="zh-CN"/>
              </w:rPr>
              <w:t>12</w:t>
            </w:r>
            <w:r>
              <w:rPr>
                <w:rFonts w:hint="eastAsia" w:hAnsi="宋体" w:cs="宋体"/>
                <w:color w:val="auto"/>
                <w:sz w:val="21"/>
                <w:highlight w:val="none"/>
              </w:rPr>
              <w:t>小时内到达现场处理，一般故障24小时内解决问题，重大故障60小时内解决问题。</w:t>
            </w:r>
            <w:r>
              <w:rPr>
                <w:rFonts w:hint="eastAsia" w:hAnsi="宋体" w:cs="宋体"/>
                <w:color w:val="auto"/>
                <w:sz w:val="21"/>
                <w:highlight w:val="none"/>
              </w:rPr>
              <w:t>并提供针对该项的承诺函。</w:t>
            </w:r>
          </w:p>
          <w:p w14:paraId="0FDFEDF6">
            <w:pPr>
              <w:pStyle w:val="20"/>
              <w:spacing w:line="360" w:lineRule="auto"/>
              <w:rPr>
                <w:rFonts w:ascii="宋体" w:hAnsi="宋体" w:cs="宋体"/>
                <w:b/>
                <w:bCs/>
                <w:color w:val="auto"/>
                <w:sz w:val="24"/>
                <w:highlight w:val="none"/>
              </w:rPr>
            </w:pPr>
            <w:r>
              <w:rPr>
                <w:rFonts w:hint="eastAsia" w:hAnsi="宋体" w:cs="宋体"/>
                <w:color w:val="auto"/>
                <w:sz w:val="21"/>
                <w:highlight w:val="none"/>
                <w:lang w:val="en-US" w:eastAsia="zh-CN"/>
              </w:rPr>
              <w:t>三</w:t>
            </w:r>
            <w:r>
              <w:rPr>
                <w:rFonts w:hint="eastAsia" w:hAnsi="宋体" w:cs="宋体"/>
                <w:color w:val="auto"/>
                <w:sz w:val="21"/>
                <w:highlight w:val="none"/>
              </w:rPr>
              <w:t>档（</w:t>
            </w:r>
            <w:r>
              <w:rPr>
                <w:rFonts w:hint="eastAsia" w:hAnsi="宋体" w:cs="宋体"/>
                <w:color w:val="auto"/>
                <w:sz w:val="21"/>
                <w:highlight w:val="none"/>
                <w:lang w:val="en-US" w:eastAsia="zh-CN"/>
              </w:rPr>
              <w:t>15</w:t>
            </w:r>
            <w:r>
              <w:rPr>
                <w:rFonts w:hint="eastAsia" w:hAnsi="宋体" w:cs="宋体"/>
                <w:color w:val="auto"/>
                <w:sz w:val="21"/>
                <w:highlight w:val="none"/>
              </w:rPr>
              <w:t>分):满足采购文件要求，后续</w:t>
            </w:r>
            <w:r>
              <w:rPr>
                <w:rFonts w:hint="eastAsia" w:hAnsi="宋体" w:cs="宋体"/>
                <w:color w:val="auto"/>
                <w:sz w:val="21"/>
                <w:highlight w:val="none"/>
                <w:lang w:val="en-US" w:eastAsia="zh-CN"/>
              </w:rPr>
              <w:t>运维</w:t>
            </w:r>
            <w:r>
              <w:rPr>
                <w:rFonts w:hint="eastAsia" w:hAnsi="宋体" w:cs="宋体"/>
                <w:color w:val="auto"/>
                <w:sz w:val="21"/>
                <w:highlight w:val="none"/>
              </w:rPr>
              <w:t>服务计划详细、合理，响应速度快，承诺针对本项目提供及时、专业化的后续</w:t>
            </w:r>
            <w:r>
              <w:rPr>
                <w:rFonts w:hint="eastAsia" w:hAnsi="宋体" w:cs="宋体"/>
                <w:color w:val="auto"/>
                <w:sz w:val="21"/>
                <w:highlight w:val="none"/>
                <w:lang w:val="en-US" w:eastAsia="zh-CN"/>
              </w:rPr>
              <w:t>运维</w:t>
            </w:r>
            <w:r>
              <w:rPr>
                <w:rFonts w:hint="eastAsia" w:hAnsi="宋体" w:cs="宋体"/>
                <w:color w:val="auto"/>
                <w:sz w:val="21"/>
                <w:highlight w:val="none"/>
              </w:rPr>
              <w:t>服务的。</w:t>
            </w:r>
            <w:r>
              <w:rPr>
                <w:rFonts w:hint="eastAsia" w:hAnsi="宋体" w:cs="宋体"/>
                <w:color w:val="auto"/>
                <w:sz w:val="21"/>
                <w:highlight w:val="none"/>
              </w:rPr>
              <w:t>供应商承诺在接到</w:t>
            </w:r>
            <w:r>
              <w:rPr>
                <w:rFonts w:hint="eastAsia" w:hAnsi="宋体" w:cs="宋体"/>
                <w:color w:val="auto"/>
                <w:sz w:val="21"/>
                <w:highlight w:val="none"/>
                <w:lang w:eastAsia="zh-CN"/>
              </w:rPr>
              <w:t>采购人</w:t>
            </w:r>
            <w:r>
              <w:rPr>
                <w:rFonts w:hint="eastAsia" w:hAnsi="宋体" w:cs="宋体"/>
                <w:color w:val="auto"/>
                <w:sz w:val="21"/>
                <w:highlight w:val="none"/>
              </w:rPr>
              <w:t>或使用方通知后在1小时内响应，</w:t>
            </w:r>
            <w:r>
              <w:rPr>
                <w:rFonts w:hint="eastAsia" w:hAnsi="宋体" w:cs="宋体"/>
                <w:color w:val="auto"/>
                <w:sz w:val="21"/>
                <w:highlight w:val="none"/>
                <w:lang w:val="en-US" w:eastAsia="zh-CN"/>
              </w:rPr>
              <w:t>8</w:t>
            </w:r>
            <w:r>
              <w:rPr>
                <w:rFonts w:hint="eastAsia" w:hAnsi="宋体" w:cs="宋体"/>
                <w:color w:val="auto"/>
                <w:sz w:val="21"/>
                <w:highlight w:val="none"/>
              </w:rPr>
              <w:t>小时内到达现场处理，一般故障</w:t>
            </w:r>
            <w:r>
              <w:rPr>
                <w:rFonts w:hint="eastAsia" w:hAnsi="宋体" w:cs="宋体"/>
                <w:color w:val="auto"/>
                <w:sz w:val="21"/>
                <w:highlight w:val="none"/>
                <w:lang w:val="en-US" w:eastAsia="zh-CN"/>
              </w:rPr>
              <w:t>12</w:t>
            </w:r>
            <w:r>
              <w:rPr>
                <w:rFonts w:hint="eastAsia" w:hAnsi="宋体" w:cs="宋体"/>
                <w:color w:val="auto"/>
                <w:sz w:val="21"/>
                <w:highlight w:val="none"/>
              </w:rPr>
              <w:t>小时内解决问题，重大故障</w:t>
            </w:r>
            <w:r>
              <w:rPr>
                <w:rFonts w:hint="eastAsia" w:hAnsi="宋体" w:cs="宋体"/>
                <w:color w:val="auto"/>
                <w:sz w:val="21"/>
                <w:highlight w:val="none"/>
                <w:lang w:val="en-US" w:eastAsia="zh-CN"/>
              </w:rPr>
              <w:t>30</w:t>
            </w:r>
            <w:r>
              <w:rPr>
                <w:rFonts w:hint="eastAsia" w:hAnsi="宋体" w:cs="宋体"/>
                <w:color w:val="auto"/>
                <w:sz w:val="21"/>
                <w:highlight w:val="none"/>
              </w:rPr>
              <w:t>小时内解决问题。</w:t>
            </w:r>
            <w:r>
              <w:rPr>
                <w:rFonts w:hint="eastAsia" w:hAnsi="宋体" w:cs="宋体"/>
                <w:color w:val="auto"/>
                <w:sz w:val="21"/>
                <w:highlight w:val="none"/>
                <w:lang w:val="en-US" w:eastAsia="zh-CN"/>
              </w:rPr>
              <w:t>并</w:t>
            </w:r>
            <w:r>
              <w:rPr>
                <w:rFonts w:hint="eastAsia" w:hAnsi="宋体" w:cs="宋体"/>
                <w:color w:val="auto"/>
                <w:sz w:val="21"/>
                <w:highlight w:val="none"/>
                <w:lang w:eastAsia="zh-CN"/>
              </w:rPr>
              <w:t>提供针对该项的承诺函；供应商或其上级公司（直接管理关系或法人关系）提供通过GB/T36733-2018</w:t>
            </w:r>
            <w:r>
              <w:rPr>
                <w:rFonts w:hint="eastAsia" w:hAnsi="宋体" w:cs="宋体"/>
                <w:color w:val="auto"/>
                <w:sz w:val="21"/>
                <w:highlight w:val="none"/>
                <w:lang w:val="en-US" w:eastAsia="zh-CN"/>
              </w:rPr>
              <w:t>或更新</w:t>
            </w:r>
            <w:r>
              <w:rPr>
                <w:rFonts w:hint="eastAsia" w:hAnsi="宋体" w:cs="宋体"/>
                <w:color w:val="auto"/>
                <w:sz w:val="21"/>
                <w:highlight w:val="none"/>
                <w:lang w:eastAsia="zh-CN"/>
              </w:rPr>
              <w:t>服务质量评价认证（认证范围:基础和增值电信业务许可范围内；云服务；网络与信息安全管理:信息系统集成安防系统；通信及信息业务相关的建设及运维云平台所涉及的服务活动）的。</w:t>
            </w:r>
          </w:p>
        </w:tc>
        <w:tc>
          <w:tcPr>
            <w:tcW w:w="1310" w:type="dxa"/>
            <w:noWrap w:val="0"/>
            <w:vAlign w:val="center"/>
          </w:tcPr>
          <w:p w14:paraId="0EE9A103">
            <w:pPr>
              <w:spacing w:line="360" w:lineRule="auto"/>
              <w:jc w:val="center"/>
              <w:rPr>
                <w:rFonts w:ascii="宋体" w:hAnsi="宋体" w:cs="宋体"/>
                <w:b/>
                <w:bCs/>
                <w:color w:val="auto"/>
                <w:sz w:val="24"/>
                <w:highlight w:val="none"/>
              </w:rPr>
            </w:pPr>
            <w:r>
              <w:rPr>
                <w:rFonts w:hint="eastAsia" w:ascii="宋体" w:hAnsi="宋体" w:cs="宋体"/>
                <w:bCs/>
                <w:color w:val="auto"/>
                <w:sz w:val="24"/>
                <w:highlight w:val="none"/>
                <w:lang w:val="en-US" w:eastAsia="zh-CN"/>
              </w:rPr>
              <w:t>15</w:t>
            </w:r>
            <w:r>
              <w:rPr>
                <w:rFonts w:hint="eastAsia" w:ascii="宋体" w:hAnsi="宋体" w:cs="宋体"/>
                <w:bCs/>
                <w:color w:val="auto"/>
                <w:sz w:val="24"/>
                <w:highlight w:val="none"/>
              </w:rPr>
              <w:t>分</w:t>
            </w:r>
          </w:p>
        </w:tc>
      </w:tr>
      <w:tr w14:paraId="34B4A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8" w:type="dxa"/>
            <w:noWrap w:val="0"/>
            <w:vAlign w:val="center"/>
          </w:tcPr>
          <w:p w14:paraId="16B2870A">
            <w:pPr>
              <w:widowControl/>
              <w:spacing w:line="360" w:lineRule="auto"/>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6</w:t>
            </w:r>
          </w:p>
        </w:tc>
        <w:tc>
          <w:tcPr>
            <w:tcW w:w="2175" w:type="dxa"/>
            <w:noWrap w:val="0"/>
            <w:vAlign w:val="center"/>
          </w:tcPr>
          <w:p w14:paraId="27838BD5">
            <w:pPr>
              <w:spacing w:line="360" w:lineRule="auto"/>
              <w:jc w:val="center"/>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rPr>
              <w:t>云存储</w:t>
            </w:r>
            <w:r>
              <w:rPr>
                <w:rFonts w:hint="eastAsia" w:ascii="宋体" w:hAnsi="宋体" w:cs="宋体"/>
                <w:b/>
                <w:bCs/>
                <w:color w:val="auto"/>
                <w:sz w:val="24"/>
                <w:highlight w:val="none"/>
                <w:lang w:val="en-US" w:eastAsia="zh-CN"/>
              </w:rPr>
              <w:t>服务器系统方案分（满分20分）</w:t>
            </w:r>
          </w:p>
        </w:tc>
        <w:tc>
          <w:tcPr>
            <w:tcW w:w="5378" w:type="dxa"/>
            <w:noWrap w:val="0"/>
            <w:vAlign w:val="center"/>
          </w:tcPr>
          <w:p w14:paraId="4B4CB515">
            <w:pPr>
              <w:pStyle w:val="20"/>
              <w:spacing w:line="360" w:lineRule="auto"/>
              <w:rPr>
                <w:rFonts w:hint="eastAsia" w:hAnsi="宋体" w:cs="宋体"/>
                <w:color w:val="auto"/>
                <w:sz w:val="21"/>
                <w:highlight w:val="none"/>
              </w:rPr>
            </w:pPr>
            <w:r>
              <w:rPr>
                <w:rFonts w:hint="eastAsia" w:hAnsi="宋体" w:cs="宋体"/>
                <w:color w:val="auto"/>
                <w:sz w:val="21"/>
                <w:highlight w:val="none"/>
              </w:rPr>
              <w:t>为保障项目视频监控云存储稳定可靠运行，对云存储系统方案进行评分。</w:t>
            </w:r>
          </w:p>
          <w:p w14:paraId="12F94E6C">
            <w:pPr>
              <w:pStyle w:val="20"/>
              <w:spacing w:line="360" w:lineRule="auto"/>
              <w:rPr>
                <w:rFonts w:hint="eastAsia" w:hAnsi="宋体" w:eastAsia="宋体" w:cs="宋体"/>
                <w:color w:val="auto"/>
                <w:sz w:val="21"/>
                <w:highlight w:val="none"/>
                <w:lang w:eastAsia="zh-CN"/>
              </w:rPr>
            </w:pPr>
            <w:r>
              <w:rPr>
                <w:rFonts w:hint="eastAsia" w:hAnsi="宋体" w:cs="宋体"/>
                <w:color w:val="auto"/>
                <w:sz w:val="21"/>
                <w:highlight w:val="none"/>
              </w:rPr>
              <w:t>一档(</w:t>
            </w:r>
            <w:r>
              <w:rPr>
                <w:rFonts w:hint="eastAsia" w:hAnsi="宋体" w:cs="宋体"/>
                <w:color w:val="auto"/>
                <w:sz w:val="21"/>
                <w:highlight w:val="none"/>
                <w:lang w:val="en-US" w:eastAsia="zh-CN"/>
              </w:rPr>
              <w:t>8</w:t>
            </w:r>
            <w:r>
              <w:rPr>
                <w:rFonts w:hint="eastAsia" w:hAnsi="宋体" w:cs="宋体"/>
                <w:color w:val="auto"/>
                <w:sz w:val="21"/>
                <w:highlight w:val="none"/>
              </w:rPr>
              <w:t>分)：云存储系统方案阐述简单，基本满足项目采购需求；云存储具备高可用性，存储业务服务设计可用性达99.90%，低频访问型存储业务服务设计可用性达99.0%；云存储所在机房满足第一级(S1A1)安全保护等级测评；</w:t>
            </w:r>
          </w:p>
          <w:p w14:paraId="6351738B">
            <w:pPr>
              <w:pStyle w:val="20"/>
              <w:spacing w:line="360" w:lineRule="auto"/>
              <w:rPr>
                <w:rFonts w:hint="eastAsia" w:hAnsi="宋体" w:cs="宋体"/>
                <w:color w:val="auto"/>
                <w:sz w:val="21"/>
                <w:highlight w:val="none"/>
              </w:rPr>
            </w:pPr>
            <w:r>
              <w:rPr>
                <w:rFonts w:hint="eastAsia" w:hAnsi="宋体" w:cs="宋体"/>
                <w:color w:val="auto"/>
                <w:sz w:val="21"/>
                <w:highlight w:val="none"/>
              </w:rPr>
              <w:t>二档(</w:t>
            </w:r>
            <w:r>
              <w:rPr>
                <w:rFonts w:hint="eastAsia" w:hAnsi="宋体" w:cs="宋体"/>
                <w:color w:val="auto"/>
                <w:sz w:val="21"/>
                <w:highlight w:val="none"/>
                <w:lang w:val="en-US" w:eastAsia="zh-CN"/>
              </w:rPr>
              <w:t>15</w:t>
            </w:r>
            <w:r>
              <w:rPr>
                <w:rFonts w:hint="eastAsia" w:hAnsi="宋体" w:cs="宋体"/>
                <w:color w:val="auto"/>
                <w:sz w:val="21"/>
                <w:highlight w:val="none"/>
              </w:rPr>
              <w:t>分）：满足“一档”基础上；能提供云存储功能板块性能标准，对云存储系统升级服务有合理的技术理论说明；采用的云服务能够实时感知算力资源和网络资源，为算网调度提供资源数据，算网评估和调度过程数据动态呈现；云存储具备高可用性，存储业务服务设计可用性达99.95%，低频访问型存储业务服务设计可用性达99.50%；云存储所在机房满足第二级(S2A2)安全保护等级测评；</w:t>
            </w:r>
          </w:p>
          <w:p w14:paraId="521F3F4E">
            <w:pPr>
              <w:pStyle w:val="20"/>
              <w:spacing w:line="360" w:lineRule="auto"/>
              <w:rPr>
                <w:rFonts w:hint="eastAsia" w:hAnsi="宋体" w:cs="宋体"/>
                <w:color w:val="auto"/>
                <w:sz w:val="21"/>
                <w:highlight w:val="none"/>
              </w:rPr>
            </w:pPr>
            <w:r>
              <w:rPr>
                <w:rFonts w:hint="eastAsia" w:hAnsi="宋体" w:cs="宋体"/>
                <w:color w:val="auto"/>
                <w:sz w:val="21"/>
                <w:highlight w:val="none"/>
              </w:rPr>
              <w:t>三档（</w:t>
            </w:r>
            <w:r>
              <w:rPr>
                <w:rFonts w:hint="eastAsia" w:hAnsi="宋体" w:cs="宋体"/>
                <w:color w:val="auto"/>
                <w:sz w:val="21"/>
                <w:highlight w:val="none"/>
                <w:lang w:val="en-US" w:eastAsia="zh-CN"/>
              </w:rPr>
              <w:t>20</w:t>
            </w:r>
            <w:r>
              <w:rPr>
                <w:rFonts w:hint="eastAsia" w:hAnsi="宋体" w:cs="宋体"/>
                <w:color w:val="auto"/>
                <w:sz w:val="21"/>
                <w:highlight w:val="none"/>
              </w:rPr>
              <w:t>分)：满足“二档”基础上；云存储系统方案完全符合</w:t>
            </w:r>
            <w:r>
              <w:rPr>
                <w:rFonts w:hint="eastAsia" w:hAnsi="宋体" w:cs="宋体"/>
                <w:color w:val="auto"/>
                <w:sz w:val="21"/>
                <w:highlight w:val="none"/>
                <w:lang w:val="en-US" w:eastAsia="zh-CN"/>
              </w:rPr>
              <w:t>采购</w:t>
            </w:r>
            <w:r>
              <w:rPr>
                <w:rFonts w:hint="eastAsia" w:hAnsi="宋体" w:cs="宋体"/>
                <w:color w:val="auto"/>
                <w:sz w:val="21"/>
                <w:highlight w:val="none"/>
              </w:rPr>
              <w:t>需求，架构设计合理、清晰；能支持横向扩展、弹性伸缩；采用的云服务支持多种算力接入技术实现对跨区域、跨服务商、跨架构的基础算力资源进行并网接入；具备跨地域、跨服务商、异构模型调度和集群内的异构资源调度等多层次、多维度的调度能力。可满足各种复杂的算力需求场景，实现高效、可靠的算力供给保障。云存储具备高可用性，存储业务服务设计可用性达99.99%，低频访问型存储业务服务设计可用性达99.90%；云存储所在机房满足第三级(S3A3)安全保护等级测评。</w:t>
            </w:r>
          </w:p>
        </w:tc>
        <w:tc>
          <w:tcPr>
            <w:tcW w:w="1310" w:type="dxa"/>
            <w:noWrap w:val="0"/>
            <w:vAlign w:val="center"/>
          </w:tcPr>
          <w:p w14:paraId="010EBE69">
            <w:pPr>
              <w:spacing w:line="360" w:lineRule="auto"/>
              <w:jc w:val="center"/>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20分</w:t>
            </w:r>
          </w:p>
        </w:tc>
      </w:tr>
      <w:tr w14:paraId="7E500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21" w:type="dxa"/>
            <w:gridSpan w:val="4"/>
            <w:noWrap w:val="0"/>
            <w:vAlign w:val="center"/>
          </w:tcPr>
          <w:p w14:paraId="1896663B">
            <w:pPr>
              <w:spacing w:line="360" w:lineRule="auto"/>
              <w:jc w:val="center"/>
              <w:rPr>
                <w:rFonts w:hint="eastAsia" w:ascii="宋体" w:hAnsi="宋体" w:cs="宋体"/>
                <w:bCs/>
                <w:color w:val="auto"/>
                <w:sz w:val="24"/>
                <w:highlight w:val="none"/>
                <w:lang w:val="en-US" w:eastAsia="zh-CN"/>
              </w:rPr>
            </w:pPr>
            <w:r>
              <w:rPr>
                <w:rFonts w:hint="eastAsia" w:ascii="宋体" w:hAnsi="宋体" w:eastAsia="宋体" w:cs="宋体"/>
                <w:bCs/>
                <w:color w:val="auto"/>
                <w:sz w:val="21"/>
                <w:szCs w:val="21"/>
                <w:highlight w:val="none"/>
                <w:lang w:val="en-US" w:eastAsia="zh-CN"/>
              </w:rPr>
              <w:t>总得分为以上各项评审因素得分合计。</w:t>
            </w:r>
          </w:p>
        </w:tc>
      </w:tr>
    </w:tbl>
    <w:p w14:paraId="31FFEA70">
      <w:pPr>
        <w:pStyle w:val="199"/>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61B167FE">
      <w:pPr>
        <w:pStyle w:val="199"/>
        <w:jc w:val="center"/>
        <w:rPr>
          <w:rFonts w:hint="eastAsia" w:ascii="宋体" w:hAnsi="宋体" w:eastAsia="宋体" w:cs="宋体"/>
          <w:color w:val="auto"/>
          <w:highlight w:val="none"/>
        </w:rPr>
      </w:pPr>
    </w:p>
    <w:p w14:paraId="444929DF">
      <w:pPr>
        <w:pStyle w:val="199"/>
        <w:jc w:val="center"/>
        <w:rPr>
          <w:rFonts w:hint="eastAsia" w:ascii="宋体" w:hAnsi="宋体" w:eastAsia="宋体" w:cs="宋体"/>
          <w:color w:val="auto"/>
          <w:highlight w:val="none"/>
        </w:rPr>
      </w:pPr>
    </w:p>
    <w:p w14:paraId="00261DFF">
      <w:pPr>
        <w:pStyle w:val="199"/>
        <w:jc w:val="both"/>
        <w:rPr>
          <w:rFonts w:hint="eastAsia" w:ascii="宋体" w:hAnsi="宋体" w:eastAsia="宋体" w:cs="宋体"/>
          <w:color w:val="auto"/>
          <w:highlight w:val="none"/>
        </w:rPr>
      </w:pPr>
    </w:p>
    <w:p w14:paraId="0645CEB2">
      <w:pPr>
        <w:pStyle w:val="199"/>
        <w:jc w:val="center"/>
        <w:rPr>
          <w:rFonts w:hint="eastAsia" w:ascii="宋体" w:hAnsi="宋体" w:eastAsia="宋体" w:cs="宋体"/>
          <w:color w:val="auto"/>
          <w:highlight w:val="none"/>
        </w:rPr>
      </w:pPr>
      <w:bookmarkStart w:id="72" w:name="_Toc27413"/>
      <w:r>
        <w:rPr>
          <w:rFonts w:hint="eastAsia" w:ascii="宋体" w:hAnsi="宋体" w:eastAsia="宋体" w:cs="宋体"/>
          <w:color w:val="auto"/>
          <w:highlight w:val="none"/>
        </w:rPr>
        <w:t>第五章 响应文件格式</w:t>
      </w:r>
      <w:bookmarkEnd w:id="72"/>
    </w:p>
    <w:p w14:paraId="058FEED1">
      <w:pPr>
        <w:spacing w:line="240" w:lineRule="atLeast"/>
        <w:rPr>
          <w:rFonts w:hint="eastAsia" w:ascii="宋体" w:hAnsi="宋体" w:eastAsia="宋体" w:cs="宋体"/>
          <w:b/>
          <w:color w:val="auto"/>
          <w:sz w:val="32"/>
          <w:szCs w:val="32"/>
          <w:highlight w:val="none"/>
        </w:rPr>
      </w:pPr>
    </w:p>
    <w:p w14:paraId="74E06951">
      <w:pPr>
        <w:spacing w:line="240" w:lineRule="atLeast"/>
        <w:rPr>
          <w:rFonts w:hint="eastAsia" w:ascii="宋体" w:hAnsi="宋体" w:eastAsia="宋体" w:cs="宋体"/>
          <w:b/>
          <w:color w:val="auto"/>
          <w:sz w:val="32"/>
          <w:szCs w:val="32"/>
          <w:highlight w:val="none"/>
        </w:rPr>
      </w:pPr>
    </w:p>
    <w:p w14:paraId="5E1B37C3">
      <w:pPr>
        <w:spacing w:line="240" w:lineRule="atLeast"/>
        <w:rPr>
          <w:rFonts w:hint="eastAsia" w:ascii="宋体" w:hAnsi="宋体" w:eastAsia="宋体" w:cs="宋体"/>
          <w:b/>
          <w:color w:val="auto"/>
          <w:sz w:val="32"/>
          <w:szCs w:val="32"/>
          <w:highlight w:val="none"/>
        </w:rPr>
      </w:pPr>
    </w:p>
    <w:p w14:paraId="1C4BBC5A">
      <w:pPr>
        <w:spacing w:line="240" w:lineRule="atLeast"/>
        <w:rPr>
          <w:rFonts w:hint="eastAsia" w:ascii="宋体" w:hAnsi="宋体" w:eastAsia="宋体" w:cs="宋体"/>
          <w:b/>
          <w:color w:val="auto"/>
          <w:sz w:val="32"/>
          <w:szCs w:val="32"/>
          <w:highlight w:val="none"/>
        </w:rPr>
      </w:pPr>
    </w:p>
    <w:p w14:paraId="0DA655C5">
      <w:pPr>
        <w:spacing w:line="240" w:lineRule="atLeast"/>
        <w:rPr>
          <w:rFonts w:hint="eastAsia" w:ascii="宋体" w:hAnsi="宋体" w:eastAsia="宋体" w:cs="宋体"/>
          <w:b/>
          <w:color w:val="auto"/>
          <w:sz w:val="32"/>
          <w:szCs w:val="32"/>
          <w:highlight w:val="none"/>
        </w:rPr>
      </w:pPr>
    </w:p>
    <w:p w14:paraId="4C8349A4">
      <w:pPr>
        <w:spacing w:line="240" w:lineRule="atLeast"/>
        <w:rPr>
          <w:rFonts w:hint="eastAsia" w:ascii="宋体" w:hAnsi="宋体" w:eastAsia="宋体" w:cs="宋体"/>
          <w:b/>
          <w:color w:val="auto"/>
          <w:sz w:val="32"/>
          <w:szCs w:val="32"/>
          <w:highlight w:val="none"/>
        </w:rPr>
      </w:pPr>
    </w:p>
    <w:p w14:paraId="31D03E53">
      <w:pPr>
        <w:spacing w:line="240" w:lineRule="atLeast"/>
        <w:rPr>
          <w:rFonts w:hint="eastAsia" w:ascii="宋体" w:hAnsi="宋体" w:eastAsia="宋体" w:cs="宋体"/>
          <w:b/>
          <w:color w:val="auto"/>
          <w:sz w:val="32"/>
          <w:szCs w:val="32"/>
          <w:highlight w:val="none"/>
        </w:rPr>
      </w:pPr>
    </w:p>
    <w:p w14:paraId="1C40CB01">
      <w:pPr>
        <w:shd w:val="clear" w:color="auto" w:fill="auto"/>
        <w:rPr>
          <w:rFonts w:hint="eastAsia" w:ascii="宋体" w:hAnsi="宋体" w:eastAsia="宋体" w:cs="宋体"/>
          <w:b/>
          <w:color w:val="auto"/>
          <w:sz w:val="32"/>
          <w:szCs w:val="32"/>
          <w:highlight w:val="none"/>
        </w:rPr>
      </w:pPr>
      <w:bookmarkStart w:id="73" w:name="_Toc35611438"/>
      <w:bookmarkStart w:id="74" w:name="_Toc35611516"/>
      <w:bookmarkStart w:id="75" w:name="_Toc31728084"/>
      <w:bookmarkStart w:id="76" w:name="_Toc44229899"/>
      <w:bookmarkStart w:id="77" w:name="_Toc31723070"/>
      <w:bookmarkStart w:id="78" w:name="_Toc71366186"/>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w:t>
      </w:r>
      <w:bookmarkStart w:id="79" w:name="_Toc35611437"/>
      <w:bookmarkStart w:id="80" w:name="_Toc35611515"/>
      <w:r>
        <w:rPr>
          <w:rFonts w:hint="eastAsia" w:ascii="宋体" w:hAnsi="宋体" w:eastAsia="宋体" w:cs="宋体"/>
          <w:b/>
          <w:color w:val="auto"/>
          <w:sz w:val="32"/>
          <w:szCs w:val="32"/>
          <w:highlight w:val="none"/>
        </w:rPr>
        <w:t>响应文件外层包装封面格式</w:t>
      </w:r>
      <w:bookmarkEnd w:id="73"/>
      <w:bookmarkEnd w:id="74"/>
      <w:r>
        <w:rPr>
          <w:rFonts w:hint="eastAsia" w:ascii="宋体" w:hAnsi="宋体" w:eastAsia="宋体" w:cs="宋体"/>
          <w:b/>
          <w:color w:val="auto"/>
          <w:sz w:val="32"/>
          <w:szCs w:val="32"/>
          <w:highlight w:val="none"/>
        </w:rPr>
        <w:t>）</w:t>
      </w:r>
    </w:p>
    <w:p w14:paraId="4842BDA3">
      <w:pPr>
        <w:shd w:val="clear" w:color="auto" w:fill="auto"/>
        <w:spacing w:before="120" w:after="50"/>
        <w:rPr>
          <w:rFonts w:hint="eastAsia" w:ascii="宋体" w:hAnsi="宋体" w:eastAsia="宋体" w:cs="宋体"/>
          <w:color w:val="auto"/>
          <w:sz w:val="24"/>
          <w:szCs w:val="20"/>
          <w:highlight w:val="none"/>
        </w:rPr>
      </w:pPr>
    </w:p>
    <w:p w14:paraId="7B963431">
      <w:pPr>
        <w:shd w:val="clear" w:color="auto" w:fill="auto"/>
        <w:spacing w:before="120" w:after="50"/>
        <w:jc w:val="center"/>
        <w:rPr>
          <w:rFonts w:hint="eastAsia" w:ascii="宋体" w:hAnsi="宋体" w:eastAsia="宋体" w:cs="宋体"/>
          <w:bCs/>
          <w:color w:val="auto"/>
          <w:sz w:val="24"/>
          <w:szCs w:val="20"/>
          <w:highlight w:val="none"/>
        </w:rPr>
      </w:pPr>
    </w:p>
    <w:p w14:paraId="39FB7D67">
      <w:pPr>
        <w:shd w:val="clear" w:color="auto" w:fill="auto"/>
        <w:spacing w:before="120" w:after="50"/>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响  应  文  件</w:t>
      </w:r>
    </w:p>
    <w:p w14:paraId="017D7496">
      <w:pPr>
        <w:shd w:val="clear" w:color="auto" w:fill="auto"/>
        <w:spacing w:before="120" w:after="50"/>
        <w:jc w:val="center"/>
        <w:rPr>
          <w:rFonts w:hint="eastAsia" w:ascii="宋体" w:hAnsi="宋体" w:eastAsia="宋体" w:cs="宋体"/>
          <w:bCs/>
          <w:color w:val="auto"/>
          <w:sz w:val="24"/>
          <w:szCs w:val="20"/>
          <w:highlight w:val="none"/>
          <w:lang w:eastAsia="zh-CN"/>
        </w:rPr>
      </w:pPr>
    </w:p>
    <w:p w14:paraId="055C95DD">
      <w:pPr>
        <w:shd w:val="clear" w:color="auto" w:fill="auto"/>
        <w:spacing w:before="120" w:after="50"/>
        <w:rPr>
          <w:rFonts w:hint="eastAsia" w:ascii="宋体" w:hAnsi="宋体" w:eastAsia="宋体" w:cs="宋体"/>
          <w:bCs/>
          <w:color w:val="auto"/>
          <w:sz w:val="24"/>
          <w:szCs w:val="20"/>
          <w:highlight w:val="none"/>
        </w:rPr>
      </w:pPr>
    </w:p>
    <w:p w14:paraId="0038C721">
      <w:pPr>
        <w:shd w:val="clear" w:color="auto" w:fill="auto"/>
        <w:spacing w:before="120" w:after="50"/>
        <w:rPr>
          <w:rFonts w:hint="eastAsia" w:ascii="宋体" w:hAnsi="宋体" w:eastAsia="宋体" w:cs="宋体"/>
          <w:bCs/>
          <w:color w:val="auto"/>
          <w:sz w:val="32"/>
          <w:szCs w:val="32"/>
          <w:highlight w:val="none"/>
        </w:rPr>
      </w:pPr>
    </w:p>
    <w:p w14:paraId="2814DFAD">
      <w:pPr>
        <w:shd w:val="clear" w:color="auto" w:fill="auto"/>
        <w:spacing w:before="120" w:after="50"/>
        <w:ind w:firstLine="64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项目名称：</w:t>
      </w:r>
    </w:p>
    <w:p w14:paraId="001163A7">
      <w:pPr>
        <w:shd w:val="clear" w:color="auto" w:fill="auto"/>
        <w:spacing w:before="120" w:after="50"/>
        <w:ind w:firstLine="480"/>
        <w:rPr>
          <w:rFonts w:hint="eastAsia" w:ascii="宋体" w:hAnsi="宋体" w:eastAsia="宋体" w:cs="宋体"/>
          <w:bCs/>
          <w:color w:val="auto"/>
          <w:sz w:val="32"/>
          <w:szCs w:val="32"/>
          <w:highlight w:val="none"/>
        </w:rPr>
      </w:pPr>
    </w:p>
    <w:p w14:paraId="1F0F1830">
      <w:pPr>
        <w:shd w:val="clear" w:color="auto" w:fill="auto"/>
        <w:spacing w:before="120" w:after="50"/>
        <w:ind w:firstLine="64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项目编号：</w:t>
      </w:r>
    </w:p>
    <w:p w14:paraId="647902E0">
      <w:pPr>
        <w:shd w:val="clear" w:color="auto" w:fill="auto"/>
        <w:spacing w:before="120" w:after="50"/>
        <w:ind w:firstLine="480"/>
        <w:rPr>
          <w:rFonts w:hint="eastAsia" w:ascii="宋体" w:hAnsi="宋体" w:eastAsia="宋体" w:cs="宋体"/>
          <w:bCs/>
          <w:color w:val="auto"/>
          <w:sz w:val="32"/>
          <w:szCs w:val="32"/>
          <w:highlight w:val="none"/>
        </w:rPr>
      </w:pPr>
    </w:p>
    <w:p w14:paraId="4AC16752">
      <w:pPr>
        <w:shd w:val="clear" w:color="auto" w:fill="auto"/>
        <w:spacing w:before="120" w:after="50"/>
        <w:ind w:firstLine="64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所竞分标（如有则填写，无分标时填写“无”或者留空）：</w:t>
      </w:r>
    </w:p>
    <w:p w14:paraId="611E3D18">
      <w:pPr>
        <w:shd w:val="clear" w:color="auto" w:fill="auto"/>
        <w:spacing w:before="120" w:after="50"/>
        <w:rPr>
          <w:rFonts w:hint="eastAsia" w:ascii="宋体" w:hAnsi="宋体" w:eastAsia="宋体" w:cs="宋体"/>
          <w:bCs/>
          <w:color w:val="auto"/>
          <w:sz w:val="32"/>
          <w:szCs w:val="32"/>
          <w:highlight w:val="none"/>
        </w:rPr>
      </w:pPr>
    </w:p>
    <w:p w14:paraId="720820CA">
      <w:pPr>
        <w:shd w:val="clear" w:color="auto" w:fill="auto"/>
        <w:spacing w:before="120" w:after="50"/>
        <w:ind w:firstLine="64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供应商名称：</w:t>
      </w:r>
    </w:p>
    <w:p w14:paraId="32647715">
      <w:pPr>
        <w:shd w:val="clear" w:color="auto" w:fill="auto"/>
        <w:spacing w:before="120" w:after="50"/>
        <w:rPr>
          <w:rFonts w:hint="eastAsia" w:ascii="宋体" w:hAnsi="宋体" w:eastAsia="宋体" w:cs="宋体"/>
          <w:bCs/>
          <w:color w:val="auto"/>
          <w:sz w:val="32"/>
          <w:szCs w:val="32"/>
          <w:highlight w:val="none"/>
        </w:rPr>
      </w:pPr>
    </w:p>
    <w:p w14:paraId="2AF902FB">
      <w:pPr>
        <w:shd w:val="clear" w:color="auto" w:fill="auto"/>
        <w:spacing w:before="120" w:after="50"/>
        <w:ind w:firstLine="480"/>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响应文件提交截止时间前不得启封</w:t>
      </w:r>
    </w:p>
    <w:p w14:paraId="15D0E79C">
      <w:pPr>
        <w:shd w:val="clear" w:color="auto" w:fill="auto"/>
        <w:spacing w:before="120" w:after="50"/>
        <w:ind w:firstLine="5440"/>
        <w:jc w:val="center"/>
        <w:rPr>
          <w:rFonts w:hint="eastAsia" w:ascii="宋体" w:hAnsi="宋体" w:eastAsia="宋体" w:cs="宋体"/>
          <w:bCs/>
          <w:color w:val="auto"/>
          <w:sz w:val="32"/>
          <w:szCs w:val="32"/>
          <w:highlight w:val="none"/>
        </w:rPr>
      </w:pPr>
    </w:p>
    <w:p w14:paraId="4B34B7A3">
      <w:pPr>
        <w:shd w:val="clear" w:color="auto" w:fill="auto"/>
        <w:spacing w:before="120" w:after="50"/>
        <w:ind w:firstLine="645"/>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年    月    日</w:t>
      </w:r>
    </w:p>
    <w:p w14:paraId="49A71769">
      <w:pPr>
        <w:shd w:val="clear" w:color="auto" w:fill="auto"/>
        <w:spacing w:before="120" w:after="50"/>
        <w:jc w:val="left"/>
        <w:rPr>
          <w:rFonts w:hint="eastAsia" w:eastAsia="宋体"/>
          <w:b/>
          <w:color w:val="auto"/>
          <w:sz w:val="32"/>
          <w:szCs w:val="32"/>
          <w:highlight w:val="none"/>
          <w:lang w:eastAsia="zh-CN"/>
        </w:rPr>
      </w:pPr>
      <w:r>
        <w:rPr>
          <w:rFonts w:hint="eastAsia"/>
          <w:b/>
          <w:color w:val="auto"/>
          <w:sz w:val="32"/>
          <w:szCs w:val="32"/>
          <w:highlight w:val="none"/>
        </w:rPr>
        <w:br w:type="page" w:clear="all"/>
      </w:r>
      <w:r>
        <w:rPr>
          <w:rFonts w:hint="eastAsia"/>
          <w:b/>
          <w:color w:val="auto"/>
          <w:sz w:val="32"/>
          <w:szCs w:val="32"/>
          <w:highlight w:val="none"/>
          <w:lang w:eastAsia="zh-CN"/>
        </w:rPr>
        <w:t>（</w:t>
      </w:r>
      <w:r>
        <w:rPr>
          <w:rFonts w:hint="eastAsia" w:ascii="宋体" w:hAnsi="宋体" w:eastAsia="宋体" w:cs="宋体"/>
          <w:b/>
          <w:color w:val="auto"/>
          <w:sz w:val="32"/>
          <w:szCs w:val="32"/>
          <w:highlight w:val="none"/>
        </w:rPr>
        <w:t>响应文件封面格式</w:t>
      </w:r>
      <w:r>
        <w:rPr>
          <w:rFonts w:hint="eastAsia"/>
          <w:b/>
          <w:color w:val="auto"/>
          <w:sz w:val="32"/>
          <w:szCs w:val="32"/>
          <w:highlight w:val="none"/>
          <w:lang w:eastAsia="zh-CN"/>
        </w:rPr>
        <w:t>）</w:t>
      </w:r>
    </w:p>
    <w:p w14:paraId="0A2A58DB">
      <w:pPr>
        <w:shd w:val="clear" w:color="auto" w:fill="auto"/>
        <w:spacing w:before="120" w:after="50"/>
        <w:jc w:val="center"/>
        <w:rPr>
          <w:rFonts w:hint="eastAsia" w:ascii="宋体" w:hAnsi="宋体" w:eastAsia="宋体" w:cs="宋体"/>
          <w:bCs/>
          <w:color w:val="auto"/>
          <w:sz w:val="44"/>
          <w:szCs w:val="44"/>
          <w:highlight w:val="none"/>
        </w:rPr>
      </w:pPr>
    </w:p>
    <w:p w14:paraId="57F35360">
      <w:pPr>
        <w:shd w:val="clear" w:color="auto" w:fill="auto"/>
        <w:spacing w:before="120" w:after="50"/>
        <w:jc w:val="center"/>
        <w:rPr>
          <w:rFonts w:hint="eastAsia" w:ascii="宋体" w:hAnsi="宋体" w:eastAsia="宋体" w:cs="宋体"/>
          <w:bCs/>
          <w:color w:val="auto"/>
          <w:sz w:val="44"/>
          <w:szCs w:val="44"/>
          <w:highlight w:val="none"/>
        </w:rPr>
      </w:pPr>
    </w:p>
    <w:p w14:paraId="10E55767">
      <w:pPr>
        <w:shd w:val="clear" w:color="auto" w:fill="auto"/>
        <w:spacing w:before="120" w:after="50"/>
        <w:jc w:val="center"/>
        <w:rPr>
          <w:rFonts w:hint="eastAsia" w:ascii="宋体" w:hAnsi="宋体" w:eastAsia="宋体" w:cs="宋体"/>
          <w:b/>
          <w:bCs w:val="0"/>
          <w:color w:val="auto"/>
          <w:sz w:val="44"/>
          <w:szCs w:val="44"/>
          <w:highlight w:val="none"/>
        </w:rPr>
      </w:pPr>
    </w:p>
    <w:p w14:paraId="46BD520B">
      <w:pPr>
        <w:shd w:val="clear" w:color="auto" w:fill="auto"/>
        <w:spacing w:before="120" w:after="50"/>
        <w:jc w:val="center"/>
        <w:rPr>
          <w:rFonts w:hint="eastAsia" w:ascii="宋体" w:hAnsi="宋体" w:eastAsia="宋体" w:cs="宋体"/>
          <w:bCs/>
          <w:color w:val="auto"/>
          <w:sz w:val="44"/>
          <w:szCs w:val="44"/>
          <w:highlight w:val="none"/>
        </w:rPr>
      </w:pPr>
      <w:r>
        <w:rPr>
          <w:rFonts w:hint="eastAsia" w:ascii="宋体" w:hAnsi="宋体" w:eastAsia="宋体" w:cs="宋体"/>
          <w:b/>
          <w:bCs w:val="0"/>
          <w:color w:val="auto"/>
          <w:sz w:val="44"/>
          <w:szCs w:val="44"/>
          <w:highlight w:val="none"/>
        </w:rPr>
        <w:t>响  应  文  件</w:t>
      </w:r>
    </w:p>
    <w:p w14:paraId="46D396A3">
      <w:pPr>
        <w:shd w:val="clear" w:color="auto" w:fill="auto"/>
        <w:spacing w:before="120" w:after="50"/>
        <w:jc w:val="center"/>
        <w:rPr>
          <w:rFonts w:hint="eastAsia" w:ascii="宋体" w:hAnsi="宋体" w:eastAsia="宋体" w:cs="宋体"/>
          <w:bCs/>
          <w:color w:val="auto"/>
          <w:sz w:val="24"/>
          <w:szCs w:val="20"/>
          <w:highlight w:val="none"/>
          <w:lang w:eastAsia="zh-CN"/>
        </w:rPr>
      </w:pPr>
      <w:r>
        <w:rPr>
          <w:rFonts w:hint="eastAsia" w:ascii="宋体" w:hAnsi="宋体" w:eastAsia="宋体" w:cs="宋体"/>
          <w:bCs/>
          <w:color w:val="auto"/>
          <w:sz w:val="24"/>
          <w:szCs w:val="20"/>
          <w:highlight w:val="none"/>
          <w:lang w:eastAsia="zh-CN"/>
        </w:rPr>
        <w:t>（</w:t>
      </w:r>
      <w:r>
        <w:rPr>
          <w:rFonts w:hint="eastAsia" w:ascii="宋体" w:hAnsi="宋体" w:eastAsia="宋体" w:cs="宋体"/>
          <w:bCs/>
          <w:color w:val="auto"/>
          <w:sz w:val="24"/>
          <w:szCs w:val="20"/>
          <w:highlight w:val="none"/>
          <w:lang w:val="en-US" w:eastAsia="zh-CN"/>
        </w:rPr>
        <w:t>正/副本</w:t>
      </w:r>
      <w:r>
        <w:rPr>
          <w:rFonts w:hint="eastAsia" w:ascii="宋体" w:hAnsi="宋体" w:eastAsia="宋体" w:cs="宋体"/>
          <w:bCs/>
          <w:color w:val="auto"/>
          <w:sz w:val="24"/>
          <w:szCs w:val="20"/>
          <w:highlight w:val="none"/>
          <w:lang w:eastAsia="zh-CN"/>
        </w:rPr>
        <w:t>）</w:t>
      </w:r>
    </w:p>
    <w:p w14:paraId="42A35514">
      <w:pPr>
        <w:shd w:val="clear" w:color="auto" w:fill="auto"/>
        <w:spacing w:before="120" w:after="50"/>
        <w:rPr>
          <w:rFonts w:hint="eastAsia" w:ascii="宋体" w:hAnsi="宋体" w:eastAsia="宋体" w:cs="宋体"/>
          <w:bCs/>
          <w:color w:val="auto"/>
          <w:sz w:val="24"/>
          <w:szCs w:val="20"/>
          <w:highlight w:val="none"/>
        </w:rPr>
      </w:pPr>
    </w:p>
    <w:p w14:paraId="0B6C1DAA">
      <w:pPr>
        <w:shd w:val="clear" w:color="auto" w:fill="auto"/>
        <w:spacing w:before="120" w:after="50"/>
        <w:rPr>
          <w:rFonts w:hint="eastAsia" w:ascii="宋体" w:hAnsi="宋体" w:eastAsia="宋体" w:cs="宋体"/>
          <w:bCs/>
          <w:color w:val="auto"/>
          <w:sz w:val="32"/>
          <w:szCs w:val="32"/>
          <w:highlight w:val="none"/>
        </w:rPr>
      </w:pPr>
    </w:p>
    <w:p w14:paraId="7FA5072F">
      <w:pPr>
        <w:shd w:val="clear" w:color="auto" w:fill="auto"/>
        <w:spacing w:before="120" w:after="50"/>
        <w:ind w:firstLine="64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项目名称：</w:t>
      </w:r>
    </w:p>
    <w:p w14:paraId="6B2BEFDB">
      <w:pPr>
        <w:shd w:val="clear" w:color="auto" w:fill="auto"/>
        <w:spacing w:before="120" w:after="50"/>
        <w:ind w:firstLine="480"/>
        <w:rPr>
          <w:rFonts w:hint="eastAsia" w:ascii="宋体" w:hAnsi="宋体" w:eastAsia="宋体" w:cs="宋体"/>
          <w:bCs/>
          <w:color w:val="auto"/>
          <w:sz w:val="32"/>
          <w:szCs w:val="32"/>
          <w:highlight w:val="none"/>
        </w:rPr>
      </w:pPr>
    </w:p>
    <w:p w14:paraId="047B954B">
      <w:pPr>
        <w:shd w:val="clear" w:color="auto" w:fill="auto"/>
        <w:spacing w:before="120" w:after="50"/>
        <w:ind w:firstLine="64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项目编号：</w:t>
      </w:r>
    </w:p>
    <w:p w14:paraId="6A93212A">
      <w:pPr>
        <w:shd w:val="clear" w:color="auto" w:fill="auto"/>
        <w:spacing w:before="120" w:after="50"/>
        <w:ind w:firstLine="480"/>
        <w:rPr>
          <w:rFonts w:hint="eastAsia" w:ascii="宋体" w:hAnsi="宋体" w:eastAsia="宋体" w:cs="宋体"/>
          <w:bCs/>
          <w:color w:val="auto"/>
          <w:sz w:val="32"/>
          <w:szCs w:val="32"/>
          <w:highlight w:val="none"/>
        </w:rPr>
      </w:pPr>
    </w:p>
    <w:p w14:paraId="18E6DD03">
      <w:pPr>
        <w:shd w:val="clear" w:color="auto" w:fill="auto"/>
        <w:spacing w:before="120" w:after="50"/>
        <w:ind w:firstLine="64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所竞分标（如有则填写，无分标时填写“无”或者留空）：</w:t>
      </w:r>
    </w:p>
    <w:p w14:paraId="0C161C0D">
      <w:pPr>
        <w:shd w:val="clear" w:color="auto" w:fill="auto"/>
        <w:spacing w:before="120" w:after="50"/>
        <w:rPr>
          <w:rFonts w:hint="eastAsia" w:ascii="宋体" w:hAnsi="宋体" w:eastAsia="宋体" w:cs="宋体"/>
          <w:bCs/>
          <w:color w:val="auto"/>
          <w:sz w:val="32"/>
          <w:szCs w:val="32"/>
          <w:highlight w:val="none"/>
        </w:rPr>
      </w:pPr>
    </w:p>
    <w:p w14:paraId="1EDE9BC9">
      <w:pPr>
        <w:shd w:val="clear" w:color="auto" w:fill="auto"/>
        <w:spacing w:before="120" w:after="50"/>
        <w:ind w:firstLine="64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供应商名称：</w:t>
      </w:r>
    </w:p>
    <w:p w14:paraId="5E7BE0BF">
      <w:pPr>
        <w:shd w:val="clear" w:color="auto" w:fill="auto"/>
        <w:spacing w:before="120" w:after="50"/>
        <w:rPr>
          <w:rFonts w:hint="eastAsia" w:ascii="宋体" w:hAnsi="宋体" w:eastAsia="宋体" w:cs="宋体"/>
          <w:bCs/>
          <w:color w:val="auto"/>
          <w:sz w:val="32"/>
          <w:szCs w:val="32"/>
          <w:highlight w:val="none"/>
        </w:rPr>
      </w:pPr>
    </w:p>
    <w:p w14:paraId="63C5B167">
      <w:pPr>
        <w:shd w:val="clear" w:color="auto" w:fill="auto"/>
        <w:spacing w:before="120" w:after="50"/>
        <w:ind w:firstLine="480"/>
        <w:jc w:val="center"/>
        <w:rPr>
          <w:rFonts w:hint="eastAsia" w:ascii="宋体" w:hAnsi="宋体" w:eastAsia="宋体" w:cs="宋体"/>
          <w:bCs/>
          <w:color w:val="auto"/>
          <w:sz w:val="32"/>
          <w:szCs w:val="32"/>
          <w:highlight w:val="none"/>
        </w:rPr>
      </w:pPr>
    </w:p>
    <w:p w14:paraId="05D50EC1">
      <w:pPr>
        <w:shd w:val="clear" w:color="auto" w:fill="auto"/>
        <w:spacing w:before="120" w:after="50"/>
        <w:ind w:firstLine="5440"/>
        <w:jc w:val="center"/>
        <w:rPr>
          <w:rFonts w:hint="eastAsia" w:ascii="宋体" w:hAnsi="宋体" w:eastAsia="宋体" w:cs="宋体"/>
          <w:bCs/>
          <w:color w:val="auto"/>
          <w:sz w:val="32"/>
          <w:szCs w:val="32"/>
          <w:highlight w:val="none"/>
        </w:rPr>
      </w:pPr>
    </w:p>
    <w:p w14:paraId="049AFBFF">
      <w:pPr>
        <w:shd w:val="clear" w:color="auto" w:fill="auto"/>
        <w:spacing w:before="120" w:after="50"/>
        <w:ind w:firstLine="5440"/>
        <w:jc w:val="center"/>
        <w:rPr>
          <w:rFonts w:hint="eastAsia" w:ascii="宋体" w:hAnsi="宋体" w:eastAsia="宋体" w:cs="宋体"/>
          <w:bCs/>
          <w:color w:val="auto"/>
          <w:sz w:val="32"/>
          <w:szCs w:val="32"/>
          <w:highlight w:val="none"/>
        </w:rPr>
      </w:pPr>
    </w:p>
    <w:p w14:paraId="31AE43E6">
      <w:pPr>
        <w:shd w:val="clear" w:color="auto" w:fill="auto"/>
        <w:spacing w:before="120" w:after="50"/>
        <w:ind w:firstLine="645"/>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年    月    日</w:t>
      </w:r>
    </w:p>
    <w:p w14:paraId="41F273AB">
      <w:pPr>
        <w:rPr>
          <w:rFonts w:hint="eastAsia" w:ascii="宋体" w:hAnsi="宋体" w:eastAsia="宋体" w:cs="宋体"/>
          <w:b/>
          <w:color w:val="auto"/>
          <w:sz w:val="32"/>
          <w:szCs w:val="32"/>
          <w:highlight w:val="none"/>
        </w:rPr>
      </w:pPr>
      <w:r>
        <w:rPr>
          <w:rFonts w:hint="eastAsia"/>
          <w:b/>
          <w:color w:val="auto"/>
          <w:sz w:val="32"/>
          <w:szCs w:val="32"/>
          <w:highlight w:val="none"/>
        </w:rPr>
        <w:br w:type="page" w:clear="all"/>
      </w:r>
      <w:r>
        <w:rPr>
          <w:rFonts w:hint="eastAsia" w:ascii="宋体" w:hAnsi="宋体" w:eastAsia="宋体" w:cs="宋体"/>
          <w:b/>
          <w:color w:val="auto"/>
          <w:sz w:val="32"/>
          <w:szCs w:val="32"/>
          <w:highlight w:val="none"/>
        </w:rPr>
        <w:t>一、资格证明文件格式</w:t>
      </w:r>
      <w:bookmarkEnd w:id="75"/>
      <w:bookmarkEnd w:id="76"/>
      <w:bookmarkEnd w:id="77"/>
      <w:bookmarkEnd w:id="78"/>
      <w:bookmarkEnd w:id="79"/>
      <w:bookmarkEnd w:id="80"/>
    </w:p>
    <w:p w14:paraId="1189F96F">
      <w:pPr>
        <w:spacing w:before="156" w:after="5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32"/>
          <w:szCs w:val="32"/>
          <w:highlight w:val="none"/>
        </w:rPr>
        <w:t>1.资格证明文件封面格式：</w:t>
      </w:r>
      <w:r>
        <w:rPr>
          <w:rFonts w:hint="eastAsia" w:ascii="宋体" w:hAnsi="宋体" w:eastAsia="宋体" w:cs="宋体"/>
          <w:b/>
          <w:color w:val="auto"/>
          <w:sz w:val="24"/>
          <w:highlight w:val="none"/>
        </w:rPr>
        <w:t xml:space="preserve"> </w:t>
      </w:r>
    </w:p>
    <w:p w14:paraId="1A29413E">
      <w:pPr>
        <w:spacing w:before="156" w:after="50"/>
        <w:jc w:val="center"/>
        <w:rPr>
          <w:rFonts w:hint="eastAsia" w:ascii="宋体" w:hAnsi="宋体" w:eastAsia="宋体" w:cs="宋体"/>
          <w:color w:val="auto"/>
          <w:sz w:val="44"/>
          <w:szCs w:val="44"/>
          <w:highlight w:val="none"/>
        </w:rPr>
      </w:pPr>
    </w:p>
    <w:p w14:paraId="64576E7D">
      <w:pPr>
        <w:spacing w:before="156" w:after="50"/>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 响 应 文 件</w:t>
      </w:r>
    </w:p>
    <w:p w14:paraId="42AD8B6F">
      <w:pPr>
        <w:spacing w:before="156" w:after="50"/>
        <w:rPr>
          <w:rFonts w:hint="eastAsia" w:ascii="宋体" w:hAnsi="宋体" w:eastAsia="宋体" w:cs="宋体"/>
          <w:color w:val="auto"/>
          <w:sz w:val="24"/>
          <w:szCs w:val="20"/>
          <w:highlight w:val="none"/>
        </w:rPr>
      </w:pPr>
    </w:p>
    <w:p w14:paraId="539D63D6">
      <w:pPr>
        <w:spacing w:before="156" w:after="50"/>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资  格  证  明  文  件</w:t>
      </w:r>
    </w:p>
    <w:p w14:paraId="634CC820">
      <w:pPr>
        <w:spacing w:before="156" w:after="50"/>
        <w:rPr>
          <w:rFonts w:hint="eastAsia" w:ascii="宋体" w:hAnsi="宋体" w:eastAsia="宋体" w:cs="宋体"/>
          <w:bCs/>
          <w:color w:val="auto"/>
          <w:sz w:val="24"/>
          <w:szCs w:val="20"/>
          <w:highlight w:val="none"/>
        </w:rPr>
      </w:pPr>
    </w:p>
    <w:p w14:paraId="63F29A75">
      <w:pPr>
        <w:spacing w:before="156" w:after="50"/>
        <w:rPr>
          <w:rFonts w:hint="eastAsia" w:ascii="宋体" w:hAnsi="宋体" w:eastAsia="宋体" w:cs="宋体"/>
          <w:bCs/>
          <w:color w:val="auto"/>
          <w:sz w:val="24"/>
          <w:szCs w:val="20"/>
          <w:highlight w:val="none"/>
        </w:rPr>
      </w:pPr>
    </w:p>
    <w:p w14:paraId="0DA728F0">
      <w:pPr>
        <w:spacing w:before="156" w:after="50"/>
        <w:rPr>
          <w:rFonts w:hint="eastAsia" w:ascii="宋体" w:hAnsi="宋体" w:eastAsia="宋体" w:cs="宋体"/>
          <w:bCs/>
          <w:color w:val="auto"/>
          <w:sz w:val="24"/>
          <w:szCs w:val="20"/>
          <w:highlight w:val="none"/>
        </w:rPr>
      </w:pPr>
    </w:p>
    <w:p w14:paraId="48B354B4">
      <w:pPr>
        <w:spacing w:before="156" w:after="50"/>
        <w:rPr>
          <w:rFonts w:hint="eastAsia" w:ascii="宋体" w:hAnsi="宋体" w:eastAsia="宋体" w:cs="宋体"/>
          <w:bCs/>
          <w:color w:val="auto"/>
          <w:sz w:val="24"/>
          <w:szCs w:val="20"/>
          <w:highlight w:val="none"/>
        </w:rPr>
      </w:pPr>
    </w:p>
    <w:p w14:paraId="6AAB07F5">
      <w:pPr>
        <w:spacing w:before="156" w:after="50"/>
        <w:rPr>
          <w:rFonts w:hint="eastAsia" w:ascii="宋体" w:hAnsi="宋体" w:eastAsia="宋体" w:cs="宋体"/>
          <w:bCs/>
          <w:color w:val="auto"/>
          <w:sz w:val="24"/>
          <w:szCs w:val="20"/>
          <w:highlight w:val="none"/>
        </w:rPr>
      </w:pPr>
    </w:p>
    <w:p w14:paraId="66EBEA4F">
      <w:pPr>
        <w:spacing w:before="156" w:after="50"/>
        <w:ind w:firstLine="64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项目名称：</w:t>
      </w:r>
    </w:p>
    <w:p w14:paraId="2636FF53">
      <w:pPr>
        <w:spacing w:before="156" w:after="50"/>
        <w:ind w:firstLine="720"/>
        <w:rPr>
          <w:rFonts w:hint="eastAsia" w:ascii="宋体" w:hAnsi="宋体" w:eastAsia="宋体" w:cs="宋体"/>
          <w:bCs/>
          <w:color w:val="auto"/>
          <w:sz w:val="32"/>
          <w:szCs w:val="32"/>
          <w:highlight w:val="none"/>
        </w:rPr>
      </w:pPr>
    </w:p>
    <w:p w14:paraId="52169001">
      <w:pPr>
        <w:spacing w:before="156" w:after="50"/>
        <w:ind w:firstLine="72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项目编号：</w:t>
      </w:r>
    </w:p>
    <w:p w14:paraId="48FEEB05">
      <w:pPr>
        <w:spacing w:before="156" w:after="50"/>
        <w:ind w:firstLine="72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 </w:t>
      </w:r>
    </w:p>
    <w:p w14:paraId="1220BDBA">
      <w:pPr>
        <w:spacing w:before="156" w:after="50"/>
        <w:ind w:firstLine="72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所竞分标（如有则填写，无分标时填写“无”或者留空）：</w:t>
      </w:r>
    </w:p>
    <w:p w14:paraId="3B7026B5">
      <w:pPr>
        <w:spacing w:before="156" w:after="50"/>
        <w:ind w:firstLine="720"/>
        <w:rPr>
          <w:rFonts w:hint="eastAsia" w:ascii="宋体" w:hAnsi="宋体" w:eastAsia="宋体" w:cs="宋体"/>
          <w:bCs/>
          <w:color w:val="auto"/>
          <w:sz w:val="32"/>
          <w:szCs w:val="32"/>
          <w:highlight w:val="none"/>
        </w:rPr>
      </w:pPr>
    </w:p>
    <w:p w14:paraId="341725C4">
      <w:pPr>
        <w:pStyle w:val="203"/>
        <w:spacing w:before="50" w:after="50"/>
        <w:ind w:firstLine="72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供应商名称：</w:t>
      </w:r>
    </w:p>
    <w:p w14:paraId="30BEA256">
      <w:pPr>
        <w:spacing w:before="156" w:after="50"/>
        <w:ind w:firstLine="640"/>
        <w:rPr>
          <w:rFonts w:hint="eastAsia" w:ascii="宋体" w:hAnsi="宋体" w:eastAsia="宋体" w:cs="宋体"/>
          <w:bCs/>
          <w:color w:val="auto"/>
          <w:sz w:val="32"/>
          <w:szCs w:val="32"/>
          <w:highlight w:val="none"/>
        </w:rPr>
      </w:pPr>
    </w:p>
    <w:p w14:paraId="29416478">
      <w:pPr>
        <w:pStyle w:val="203"/>
        <w:spacing w:before="50" w:after="50"/>
        <w:ind w:firstLine="720"/>
        <w:rPr>
          <w:rFonts w:hint="eastAsia" w:ascii="宋体" w:hAnsi="宋体" w:eastAsia="宋体" w:cs="宋体"/>
          <w:bCs/>
          <w:color w:val="auto"/>
          <w:sz w:val="32"/>
          <w:szCs w:val="32"/>
          <w:highlight w:val="none"/>
        </w:rPr>
      </w:pPr>
    </w:p>
    <w:p w14:paraId="485E0335">
      <w:pPr>
        <w:pStyle w:val="203"/>
        <w:spacing w:before="50" w:after="50"/>
        <w:ind w:firstLine="720"/>
        <w:rPr>
          <w:rFonts w:hint="eastAsia" w:ascii="宋体" w:hAnsi="宋体" w:eastAsia="宋体" w:cs="宋体"/>
          <w:bCs/>
          <w:color w:val="auto"/>
          <w:sz w:val="32"/>
          <w:szCs w:val="32"/>
          <w:highlight w:val="none"/>
        </w:rPr>
      </w:pPr>
    </w:p>
    <w:p w14:paraId="59E9E121">
      <w:pPr>
        <w:pStyle w:val="203"/>
        <w:spacing w:before="50" w:after="50"/>
        <w:ind w:firstLine="1280"/>
        <w:rPr>
          <w:rFonts w:hint="eastAsia" w:ascii="宋体" w:hAnsi="宋体" w:eastAsia="宋体" w:cs="宋体"/>
          <w:bCs/>
          <w:color w:val="auto"/>
          <w:sz w:val="32"/>
          <w:szCs w:val="32"/>
          <w:highlight w:val="none"/>
        </w:rPr>
      </w:pPr>
    </w:p>
    <w:p w14:paraId="4AC273F2">
      <w:pPr>
        <w:spacing w:before="156" w:after="5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年    月    日</w:t>
      </w:r>
    </w:p>
    <w:p w14:paraId="2282FD98">
      <w:pPr>
        <w:spacing w:before="156" w:after="50" w:line="360" w:lineRule="auto"/>
        <w:ind w:left="142"/>
        <w:jc w:val="left"/>
        <w:rPr>
          <w:rFonts w:hint="eastAsia" w:ascii="宋体" w:hAnsi="宋体" w:eastAsia="宋体" w:cs="宋体"/>
          <w:b/>
          <w:bCs/>
          <w:color w:val="auto"/>
          <w:sz w:val="32"/>
          <w:szCs w:val="32"/>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32"/>
          <w:szCs w:val="32"/>
          <w:highlight w:val="none"/>
        </w:rPr>
        <w:t>2.资格证明文件目录</w:t>
      </w:r>
    </w:p>
    <w:p w14:paraId="113BB0CD">
      <w:pPr>
        <w:spacing w:before="156" w:after="50" w:line="360" w:lineRule="auto"/>
        <w:ind w:firstLine="645"/>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根据磋商文件规定及供应商提供的材料自行编写目录（部分格式后附）。</w:t>
      </w:r>
    </w:p>
    <w:p w14:paraId="2D8067B9">
      <w:pPr>
        <w:spacing w:before="156" w:after="5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w:t>
      </w:r>
    </w:p>
    <w:p w14:paraId="15FF081B">
      <w:pPr>
        <w:spacing w:line="300" w:lineRule="auto"/>
        <w:rPr>
          <w:rFonts w:hint="eastAsia" w:ascii="宋体" w:hAnsi="宋体" w:eastAsia="宋体" w:cs="宋体"/>
          <w:color w:val="auto"/>
          <w:szCs w:val="21"/>
          <w:highlight w:val="none"/>
        </w:rPr>
      </w:pPr>
    </w:p>
    <w:p w14:paraId="12A39CDD">
      <w:pPr>
        <w:spacing w:line="300" w:lineRule="auto"/>
        <w:rPr>
          <w:rFonts w:hint="eastAsia" w:ascii="宋体" w:hAnsi="宋体" w:eastAsia="宋体" w:cs="宋体"/>
          <w:color w:val="auto"/>
          <w:szCs w:val="21"/>
          <w:highlight w:val="none"/>
        </w:rPr>
      </w:pPr>
    </w:p>
    <w:p w14:paraId="5EB879C0">
      <w:pPr>
        <w:spacing w:line="300" w:lineRule="auto"/>
        <w:rPr>
          <w:rFonts w:hint="eastAsia" w:ascii="宋体" w:hAnsi="宋体" w:eastAsia="宋体" w:cs="宋体"/>
          <w:color w:val="auto"/>
          <w:szCs w:val="21"/>
          <w:highlight w:val="none"/>
        </w:rPr>
      </w:pPr>
    </w:p>
    <w:p w14:paraId="511634C3">
      <w:pPr>
        <w:spacing w:line="300" w:lineRule="auto"/>
        <w:rPr>
          <w:rFonts w:hint="eastAsia" w:ascii="宋体" w:hAnsi="宋体" w:eastAsia="宋体" w:cs="宋体"/>
          <w:color w:val="auto"/>
          <w:szCs w:val="21"/>
          <w:highlight w:val="none"/>
        </w:rPr>
      </w:pPr>
    </w:p>
    <w:p w14:paraId="2CDB43D4">
      <w:pPr>
        <w:spacing w:line="300" w:lineRule="auto"/>
        <w:rPr>
          <w:rFonts w:hint="eastAsia" w:ascii="宋体" w:hAnsi="宋体" w:eastAsia="宋体" w:cs="宋体"/>
          <w:color w:val="auto"/>
          <w:szCs w:val="21"/>
          <w:highlight w:val="none"/>
        </w:rPr>
      </w:pPr>
    </w:p>
    <w:p w14:paraId="10239AE0">
      <w:pPr>
        <w:spacing w:line="300" w:lineRule="auto"/>
        <w:rPr>
          <w:rFonts w:hint="eastAsia" w:ascii="宋体" w:hAnsi="宋体" w:eastAsia="宋体" w:cs="宋体"/>
          <w:color w:val="auto"/>
          <w:szCs w:val="21"/>
          <w:highlight w:val="none"/>
        </w:rPr>
      </w:pPr>
    </w:p>
    <w:p w14:paraId="3F514950">
      <w:pPr>
        <w:spacing w:line="300" w:lineRule="auto"/>
        <w:rPr>
          <w:rFonts w:hint="eastAsia" w:ascii="宋体" w:hAnsi="宋体" w:eastAsia="宋体" w:cs="宋体"/>
          <w:color w:val="auto"/>
          <w:szCs w:val="21"/>
          <w:highlight w:val="none"/>
        </w:rPr>
      </w:pPr>
    </w:p>
    <w:p w14:paraId="0BB7B64F">
      <w:pPr>
        <w:spacing w:line="300" w:lineRule="auto"/>
        <w:rPr>
          <w:rFonts w:hint="eastAsia" w:ascii="宋体" w:hAnsi="宋体" w:eastAsia="宋体" w:cs="宋体"/>
          <w:color w:val="auto"/>
          <w:szCs w:val="21"/>
          <w:highlight w:val="none"/>
        </w:rPr>
      </w:pPr>
    </w:p>
    <w:p w14:paraId="4B0ABC4C">
      <w:pPr>
        <w:spacing w:line="300" w:lineRule="auto"/>
        <w:rPr>
          <w:rFonts w:hint="eastAsia" w:ascii="宋体" w:hAnsi="宋体" w:eastAsia="宋体" w:cs="宋体"/>
          <w:color w:val="auto"/>
          <w:szCs w:val="21"/>
          <w:highlight w:val="none"/>
        </w:rPr>
      </w:pPr>
    </w:p>
    <w:p w14:paraId="4201154B">
      <w:pPr>
        <w:spacing w:line="300" w:lineRule="auto"/>
        <w:rPr>
          <w:rFonts w:hint="eastAsia" w:ascii="宋体" w:hAnsi="宋体" w:eastAsia="宋体" w:cs="宋体"/>
          <w:color w:val="auto"/>
          <w:szCs w:val="21"/>
          <w:highlight w:val="none"/>
        </w:rPr>
      </w:pPr>
    </w:p>
    <w:p w14:paraId="234D6A4B">
      <w:pPr>
        <w:spacing w:line="300" w:lineRule="auto"/>
        <w:rPr>
          <w:rFonts w:hint="eastAsia" w:ascii="宋体" w:hAnsi="宋体" w:eastAsia="宋体" w:cs="宋体"/>
          <w:color w:val="auto"/>
          <w:szCs w:val="21"/>
          <w:highlight w:val="none"/>
        </w:rPr>
      </w:pPr>
    </w:p>
    <w:p w14:paraId="61EFA042">
      <w:pPr>
        <w:spacing w:line="300" w:lineRule="auto"/>
        <w:rPr>
          <w:rFonts w:hint="eastAsia" w:ascii="宋体" w:hAnsi="宋体" w:eastAsia="宋体" w:cs="宋体"/>
          <w:color w:val="auto"/>
          <w:szCs w:val="21"/>
          <w:highlight w:val="none"/>
        </w:rPr>
      </w:pPr>
    </w:p>
    <w:p w14:paraId="3E3C8C76">
      <w:pPr>
        <w:spacing w:line="300" w:lineRule="auto"/>
        <w:rPr>
          <w:rFonts w:hint="eastAsia" w:ascii="宋体" w:hAnsi="宋体" w:eastAsia="宋体" w:cs="宋体"/>
          <w:color w:val="auto"/>
          <w:szCs w:val="21"/>
          <w:highlight w:val="none"/>
        </w:rPr>
      </w:pPr>
    </w:p>
    <w:p w14:paraId="13A4CE69">
      <w:pPr>
        <w:spacing w:line="300" w:lineRule="auto"/>
        <w:rPr>
          <w:rFonts w:hint="eastAsia" w:ascii="宋体" w:hAnsi="宋体" w:eastAsia="宋体" w:cs="宋体"/>
          <w:color w:val="auto"/>
          <w:szCs w:val="21"/>
          <w:highlight w:val="none"/>
        </w:rPr>
      </w:pPr>
    </w:p>
    <w:p w14:paraId="524A959B">
      <w:pPr>
        <w:spacing w:line="300" w:lineRule="auto"/>
        <w:rPr>
          <w:rFonts w:hint="eastAsia" w:ascii="宋体" w:hAnsi="宋体" w:eastAsia="宋体" w:cs="宋体"/>
          <w:color w:val="auto"/>
          <w:szCs w:val="21"/>
          <w:highlight w:val="none"/>
        </w:rPr>
      </w:pPr>
    </w:p>
    <w:p w14:paraId="43D116B2">
      <w:pPr>
        <w:spacing w:line="32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rPr>
          <w:rFonts w:hint="eastAsia" w:ascii="宋体" w:hAnsi="宋体" w:eastAsia="宋体" w:cs="宋体"/>
          <w:color w:val="auto"/>
          <w:szCs w:val="21"/>
          <w:highlight w:val="none"/>
        </w:rPr>
        <w:t xml:space="preserve"> </w:t>
      </w:r>
    </w:p>
    <w:p w14:paraId="4B81E331">
      <w:pPr>
        <w:spacing w:before="156" w:after="50" w:line="320" w:lineRule="exact"/>
        <w:ind w:right="482" w:firstLine="210"/>
        <w:contextualSpacing/>
        <w:jc w:val="center"/>
        <w:rPr>
          <w:rFonts w:hint="eastAsia" w:ascii="宋体" w:hAnsi="宋体" w:eastAsia="宋体" w:cs="宋体"/>
          <w:color w:val="auto"/>
          <w:szCs w:val="21"/>
          <w:highlight w:val="none"/>
        </w:rPr>
      </w:pPr>
    </w:p>
    <w:p w14:paraId="1FA0F445">
      <w:pPr>
        <w:spacing w:before="50" w:after="120"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eastAsia="zh-CN"/>
        </w:rPr>
        <w:t>供应商</w:t>
      </w:r>
      <w:r>
        <w:rPr>
          <w:rFonts w:hint="eastAsia" w:ascii="宋体" w:hAnsi="宋体" w:eastAsia="宋体" w:cs="宋体"/>
          <w:b/>
          <w:color w:val="auto"/>
          <w:sz w:val="32"/>
          <w:szCs w:val="32"/>
          <w:highlight w:val="none"/>
        </w:rPr>
        <w:t>直接控股股东信息表</w:t>
      </w:r>
    </w:p>
    <w:tbl>
      <w:tblPr>
        <w:tblStyle w:val="35"/>
        <w:tblW w:w="0" w:type="auto"/>
        <w:tblInd w:w="-120" w:type="dxa"/>
        <w:shd w:val="clear" w:color="auto" w:fill="FBFBFB"/>
        <w:tblLayout w:type="fixed"/>
        <w:tblCellMar>
          <w:top w:w="120" w:type="dxa"/>
          <w:left w:w="120" w:type="dxa"/>
          <w:bottom w:w="120" w:type="dxa"/>
          <w:right w:w="120" w:type="dxa"/>
        </w:tblCellMar>
      </w:tblPr>
      <w:tblGrid>
        <w:gridCol w:w="828"/>
        <w:gridCol w:w="2269"/>
        <w:gridCol w:w="1239"/>
        <w:gridCol w:w="3722"/>
        <w:gridCol w:w="1418"/>
      </w:tblGrid>
      <w:tr w14:paraId="71CD5DAC">
        <w:tblPrEx>
          <w:shd w:val="clear" w:color="auto" w:fill="FBFBFB"/>
          <w:tblCellMar>
            <w:top w:w="120" w:type="dxa"/>
            <w:left w:w="120" w:type="dxa"/>
            <w:bottom w:w="120" w:type="dxa"/>
            <w:right w:w="120" w:type="dxa"/>
          </w:tblCellMar>
        </w:tblPrEx>
        <w:trPr>
          <w:tblHeader/>
        </w:trPr>
        <w:tc>
          <w:tcPr>
            <w:tcW w:w="828" w:type="dxa"/>
            <w:tcBorders>
              <w:top w:val="single" w:color="auto" w:sz="4" w:space="0"/>
              <w:left w:val="single" w:color="auto" w:sz="4" w:space="0"/>
              <w:bottom w:val="single" w:color="auto" w:sz="4" w:space="0"/>
              <w:right w:val="single" w:color="auto" w:sz="4" w:space="0"/>
            </w:tcBorders>
            <w:shd w:val="clear" w:color="auto" w:fill="EAE3D8"/>
            <w:noWrap w:val="0"/>
            <w:tcMar>
              <w:top w:w="120" w:type="dxa"/>
              <w:left w:w="120" w:type="dxa"/>
              <w:bottom w:w="120" w:type="dxa"/>
              <w:right w:w="120" w:type="dxa"/>
            </w:tcMar>
            <w:vAlign w:val="center"/>
          </w:tcPr>
          <w:p w14:paraId="0D9023EC">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2269" w:type="dxa"/>
            <w:tcBorders>
              <w:top w:val="single" w:color="auto" w:sz="4" w:space="0"/>
              <w:left w:val="single" w:color="auto" w:sz="4" w:space="0"/>
              <w:bottom w:val="single" w:color="auto" w:sz="4" w:space="0"/>
              <w:right w:val="single" w:color="auto" w:sz="4" w:space="0"/>
            </w:tcBorders>
            <w:shd w:val="clear" w:color="auto" w:fill="EAE3D8"/>
            <w:noWrap w:val="0"/>
            <w:tcMar>
              <w:top w:w="120" w:type="dxa"/>
              <w:left w:w="120" w:type="dxa"/>
              <w:bottom w:w="120" w:type="dxa"/>
              <w:right w:w="120" w:type="dxa"/>
            </w:tcMar>
            <w:vAlign w:val="center"/>
          </w:tcPr>
          <w:p w14:paraId="101B1E73">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直接控股股东名称</w:t>
            </w:r>
          </w:p>
        </w:tc>
        <w:tc>
          <w:tcPr>
            <w:tcW w:w="1239" w:type="dxa"/>
            <w:tcBorders>
              <w:top w:val="single" w:color="auto" w:sz="4" w:space="0"/>
              <w:left w:val="single" w:color="auto" w:sz="4" w:space="0"/>
              <w:bottom w:val="single" w:color="auto" w:sz="4" w:space="0"/>
              <w:right w:val="single" w:color="auto" w:sz="4" w:space="0"/>
            </w:tcBorders>
            <w:shd w:val="clear" w:color="auto" w:fill="EAE3D8"/>
            <w:noWrap w:val="0"/>
            <w:tcMar>
              <w:top w:w="120" w:type="dxa"/>
              <w:left w:w="120" w:type="dxa"/>
              <w:bottom w:w="120" w:type="dxa"/>
              <w:right w:w="120" w:type="dxa"/>
            </w:tcMar>
            <w:vAlign w:val="center"/>
          </w:tcPr>
          <w:p w14:paraId="1B32C48E">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出资比例(%)</w:t>
            </w:r>
          </w:p>
        </w:tc>
        <w:tc>
          <w:tcPr>
            <w:tcW w:w="3722" w:type="dxa"/>
            <w:tcBorders>
              <w:top w:val="single" w:color="auto" w:sz="4" w:space="0"/>
              <w:left w:val="single" w:color="auto" w:sz="4" w:space="0"/>
              <w:bottom w:val="single" w:color="auto" w:sz="4" w:space="0"/>
              <w:right w:val="single" w:color="auto" w:sz="4" w:space="0"/>
            </w:tcBorders>
            <w:shd w:val="clear" w:color="auto" w:fill="EAE3D8"/>
            <w:noWrap w:val="0"/>
            <w:tcMar>
              <w:top w:w="120" w:type="dxa"/>
              <w:left w:w="120" w:type="dxa"/>
              <w:bottom w:w="120" w:type="dxa"/>
              <w:right w:w="120" w:type="dxa"/>
            </w:tcMar>
            <w:vAlign w:val="center"/>
          </w:tcPr>
          <w:p w14:paraId="2A7AC275">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身份证号码或者统一社会信用代码</w:t>
            </w:r>
          </w:p>
        </w:tc>
        <w:tc>
          <w:tcPr>
            <w:tcW w:w="1418" w:type="dxa"/>
            <w:tcBorders>
              <w:top w:val="single" w:color="auto" w:sz="4" w:space="0"/>
              <w:left w:val="single" w:color="auto" w:sz="4" w:space="0"/>
              <w:bottom w:val="single" w:color="auto" w:sz="4" w:space="0"/>
              <w:right w:val="single" w:color="auto" w:sz="4" w:space="0"/>
            </w:tcBorders>
            <w:shd w:val="clear" w:color="auto" w:fill="EAE3D8"/>
            <w:noWrap w:val="0"/>
            <w:tcMar>
              <w:top w:w="120" w:type="dxa"/>
              <w:left w:w="120" w:type="dxa"/>
              <w:bottom w:w="120" w:type="dxa"/>
              <w:right w:w="120" w:type="dxa"/>
            </w:tcMar>
            <w:vAlign w:val="center"/>
          </w:tcPr>
          <w:p w14:paraId="6316992F">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备注</w:t>
            </w:r>
          </w:p>
        </w:tc>
      </w:tr>
      <w:tr w14:paraId="6D113ABC">
        <w:tblPrEx>
          <w:shd w:val="clear" w:color="auto" w:fill="FBFBFB"/>
          <w:tblCellMar>
            <w:top w:w="120" w:type="dxa"/>
            <w:left w:w="120" w:type="dxa"/>
            <w:bottom w:w="120" w:type="dxa"/>
            <w:right w:w="120" w:type="dxa"/>
          </w:tblCellMar>
        </w:tblPrEx>
        <w:tc>
          <w:tcPr>
            <w:tcW w:w="828"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15B7C1E2">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2269"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10000F10">
            <w:pPr>
              <w:spacing w:line="360" w:lineRule="auto"/>
              <w:jc w:val="center"/>
              <w:rPr>
                <w:rFonts w:hint="eastAsia" w:ascii="宋体" w:hAnsi="宋体" w:eastAsia="宋体" w:cs="宋体"/>
                <w:color w:val="auto"/>
                <w:sz w:val="24"/>
                <w:highlight w:val="none"/>
              </w:rPr>
            </w:pPr>
          </w:p>
        </w:tc>
        <w:tc>
          <w:tcPr>
            <w:tcW w:w="1239"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7FA09040">
            <w:pPr>
              <w:spacing w:line="360" w:lineRule="auto"/>
              <w:jc w:val="center"/>
              <w:rPr>
                <w:rFonts w:hint="eastAsia" w:ascii="宋体" w:hAnsi="宋体" w:eastAsia="宋体" w:cs="宋体"/>
                <w:color w:val="auto"/>
                <w:sz w:val="24"/>
                <w:highlight w:val="none"/>
              </w:rPr>
            </w:pPr>
          </w:p>
        </w:tc>
        <w:tc>
          <w:tcPr>
            <w:tcW w:w="3722"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4BA12262">
            <w:pPr>
              <w:spacing w:line="360" w:lineRule="auto"/>
              <w:jc w:val="center"/>
              <w:rPr>
                <w:rFonts w:hint="eastAsia" w:ascii="宋体" w:hAnsi="宋体" w:eastAsia="宋体" w:cs="宋体"/>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6223C0BA">
            <w:pPr>
              <w:spacing w:line="360" w:lineRule="auto"/>
              <w:jc w:val="center"/>
              <w:rPr>
                <w:rFonts w:hint="eastAsia" w:ascii="宋体" w:hAnsi="宋体" w:eastAsia="宋体" w:cs="宋体"/>
                <w:color w:val="auto"/>
                <w:sz w:val="24"/>
                <w:highlight w:val="none"/>
              </w:rPr>
            </w:pPr>
          </w:p>
        </w:tc>
      </w:tr>
      <w:tr w14:paraId="61F04A12">
        <w:tblPrEx>
          <w:shd w:val="clear" w:color="auto" w:fill="FBFBFB"/>
          <w:tblCellMar>
            <w:top w:w="120" w:type="dxa"/>
            <w:left w:w="120" w:type="dxa"/>
            <w:bottom w:w="120" w:type="dxa"/>
            <w:right w:w="120" w:type="dxa"/>
          </w:tblCellMar>
        </w:tblPrEx>
        <w:tc>
          <w:tcPr>
            <w:tcW w:w="828"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16F20171">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2269"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36839A5B">
            <w:pPr>
              <w:spacing w:line="360" w:lineRule="auto"/>
              <w:jc w:val="center"/>
              <w:rPr>
                <w:rFonts w:hint="eastAsia" w:ascii="宋体" w:hAnsi="宋体" w:eastAsia="宋体" w:cs="宋体"/>
                <w:color w:val="auto"/>
                <w:sz w:val="24"/>
                <w:highlight w:val="none"/>
              </w:rPr>
            </w:pPr>
          </w:p>
        </w:tc>
        <w:tc>
          <w:tcPr>
            <w:tcW w:w="1239"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04D900C7">
            <w:pPr>
              <w:spacing w:line="360" w:lineRule="auto"/>
              <w:jc w:val="center"/>
              <w:rPr>
                <w:rFonts w:hint="eastAsia" w:ascii="宋体" w:hAnsi="宋体" w:eastAsia="宋体" w:cs="宋体"/>
                <w:color w:val="auto"/>
                <w:sz w:val="24"/>
                <w:highlight w:val="none"/>
              </w:rPr>
            </w:pPr>
          </w:p>
        </w:tc>
        <w:tc>
          <w:tcPr>
            <w:tcW w:w="3722"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0B15C8E6">
            <w:pPr>
              <w:spacing w:line="360" w:lineRule="auto"/>
              <w:jc w:val="center"/>
              <w:rPr>
                <w:rFonts w:hint="eastAsia" w:ascii="宋体" w:hAnsi="宋体" w:eastAsia="宋体" w:cs="宋体"/>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5DB68967">
            <w:pPr>
              <w:spacing w:line="360" w:lineRule="auto"/>
              <w:jc w:val="center"/>
              <w:rPr>
                <w:rFonts w:hint="eastAsia" w:ascii="宋体" w:hAnsi="宋体" w:eastAsia="宋体" w:cs="宋体"/>
                <w:color w:val="auto"/>
                <w:sz w:val="24"/>
                <w:highlight w:val="none"/>
              </w:rPr>
            </w:pPr>
          </w:p>
        </w:tc>
      </w:tr>
      <w:tr w14:paraId="7F376C87">
        <w:tblPrEx>
          <w:tblCellMar>
            <w:top w:w="120" w:type="dxa"/>
            <w:left w:w="120" w:type="dxa"/>
            <w:bottom w:w="120" w:type="dxa"/>
            <w:right w:w="120" w:type="dxa"/>
          </w:tblCellMar>
        </w:tblPrEx>
        <w:tc>
          <w:tcPr>
            <w:tcW w:w="828"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2C68CF98">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2269"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2FE19D51">
            <w:pPr>
              <w:spacing w:line="360" w:lineRule="auto"/>
              <w:jc w:val="center"/>
              <w:rPr>
                <w:rFonts w:hint="eastAsia" w:ascii="宋体" w:hAnsi="宋体" w:eastAsia="宋体" w:cs="宋体"/>
                <w:color w:val="auto"/>
                <w:sz w:val="24"/>
                <w:highlight w:val="none"/>
              </w:rPr>
            </w:pPr>
          </w:p>
        </w:tc>
        <w:tc>
          <w:tcPr>
            <w:tcW w:w="1239"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7D567680">
            <w:pPr>
              <w:spacing w:line="360" w:lineRule="auto"/>
              <w:jc w:val="center"/>
              <w:rPr>
                <w:rFonts w:hint="eastAsia" w:ascii="宋体" w:hAnsi="宋体" w:eastAsia="宋体" w:cs="宋体"/>
                <w:color w:val="auto"/>
                <w:sz w:val="24"/>
                <w:highlight w:val="none"/>
              </w:rPr>
            </w:pPr>
          </w:p>
        </w:tc>
        <w:tc>
          <w:tcPr>
            <w:tcW w:w="3722"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3CC9C009">
            <w:pPr>
              <w:spacing w:line="360" w:lineRule="auto"/>
              <w:jc w:val="center"/>
              <w:rPr>
                <w:rFonts w:hint="eastAsia" w:ascii="宋体" w:hAnsi="宋体" w:eastAsia="宋体" w:cs="宋体"/>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35E4F7CC">
            <w:pPr>
              <w:spacing w:line="360" w:lineRule="auto"/>
              <w:jc w:val="center"/>
              <w:rPr>
                <w:rFonts w:hint="eastAsia" w:ascii="宋体" w:hAnsi="宋体" w:eastAsia="宋体" w:cs="宋体"/>
                <w:color w:val="auto"/>
                <w:sz w:val="24"/>
                <w:highlight w:val="none"/>
              </w:rPr>
            </w:pPr>
          </w:p>
        </w:tc>
      </w:tr>
      <w:tr w14:paraId="109A25EB">
        <w:tblPrEx>
          <w:tblCellMar>
            <w:top w:w="120" w:type="dxa"/>
            <w:left w:w="120" w:type="dxa"/>
            <w:bottom w:w="120" w:type="dxa"/>
            <w:right w:w="120" w:type="dxa"/>
          </w:tblCellMar>
        </w:tblPrEx>
        <w:tc>
          <w:tcPr>
            <w:tcW w:w="828"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2B6DC04B">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2269"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0C2FF4AF">
            <w:pPr>
              <w:spacing w:line="360" w:lineRule="auto"/>
              <w:jc w:val="center"/>
              <w:rPr>
                <w:rFonts w:hint="eastAsia" w:ascii="宋体" w:hAnsi="宋体" w:eastAsia="宋体" w:cs="宋体"/>
                <w:color w:val="auto"/>
                <w:sz w:val="24"/>
                <w:highlight w:val="none"/>
              </w:rPr>
            </w:pPr>
          </w:p>
        </w:tc>
        <w:tc>
          <w:tcPr>
            <w:tcW w:w="1239"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4E458AB8">
            <w:pPr>
              <w:spacing w:line="360" w:lineRule="auto"/>
              <w:jc w:val="center"/>
              <w:rPr>
                <w:rFonts w:hint="eastAsia" w:ascii="宋体" w:hAnsi="宋体" w:eastAsia="宋体" w:cs="宋体"/>
                <w:color w:val="auto"/>
                <w:sz w:val="24"/>
                <w:highlight w:val="none"/>
              </w:rPr>
            </w:pPr>
          </w:p>
        </w:tc>
        <w:tc>
          <w:tcPr>
            <w:tcW w:w="3722"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022DED8B">
            <w:pPr>
              <w:spacing w:line="360" w:lineRule="auto"/>
              <w:jc w:val="center"/>
              <w:rPr>
                <w:rFonts w:hint="eastAsia" w:ascii="宋体" w:hAnsi="宋体" w:eastAsia="宋体" w:cs="宋体"/>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3E0C592C">
            <w:pPr>
              <w:spacing w:line="360" w:lineRule="auto"/>
              <w:jc w:val="center"/>
              <w:rPr>
                <w:rFonts w:hint="eastAsia" w:ascii="宋体" w:hAnsi="宋体" w:eastAsia="宋体" w:cs="宋体"/>
                <w:color w:val="auto"/>
                <w:sz w:val="24"/>
                <w:highlight w:val="none"/>
              </w:rPr>
            </w:pPr>
          </w:p>
        </w:tc>
      </w:tr>
    </w:tbl>
    <w:p w14:paraId="42674049">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w:t>
      </w:r>
    </w:p>
    <w:p w14:paraId="3CE1C1C7">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63707AC1">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2.本表所指的控股关系仅限于直接控股关系，不包括间接的控股关系。公司实际控制人与公司之间的关系不属于本表所指的直接控股关系。</w:t>
      </w:r>
    </w:p>
    <w:p w14:paraId="44F8F3DA">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3.供应商不存在直接控股股东的，则在“</w:t>
      </w:r>
      <w:r>
        <w:rPr>
          <w:rFonts w:hint="eastAsia" w:ascii="宋体" w:hAnsi="宋体" w:eastAsia="宋体" w:cs="宋体"/>
          <w:b/>
          <w:bCs/>
          <w:color w:val="auto"/>
          <w:sz w:val="24"/>
          <w:highlight w:val="none"/>
        </w:rPr>
        <w:t>直接控股股东名称</w:t>
      </w:r>
      <w:r>
        <w:rPr>
          <w:rFonts w:hint="eastAsia" w:ascii="宋体" w:hAnsi="宋体" w:eastAsia="宋体" w:cs="宋体"/>
          <w:color w:val="auto"/>
          <w:sz w:val="24"/>
          <w:highlight w:val="none"/>
        </w:rPr>
        <w:t>”中填“无”。</w:t>
      </w:r>
    </w:p>
    <w:p w14:paraId="526BDBC4">
      <w:pPr>
        <w:spacing w:line="360" w:lineRule="auto"/>
        <w:jc w:val="left"/>
        <w:rPr>
          <w:rFonts w:hint="eastAsia" w:ascii="宋体" w:hAnsi="宋体" w:eastAsia="宋体" w:cs="宋体"/>
          <w:color w:val="auto"/>
          <w:sz w:val="24"/>
          <w:highlight w:val="none"/>
        </w:rPr>
      </w:pPr>
    </w:p>
    <w:p w14:paraId="1E86C44A">
      <w:pPr>
        <w:spacing w:line="360" w:lineRule="auto"/>
        <w:jc w:val="left"/>
        <w:rPr>
          <w:rFonts w:hint="eastAsia" w:ascii="宋体" w:hAnsi="宋体" w:eastAsia="宋体" w:cs="宋体"/>
          <w:color w:val="auto"/>
          <w:sz w:val="24"/>
          <w:highlight w:val="none"/>
        </w:rPr>
      </w:pPr>
    </w:p>
    <w:p w14:paraId="4CC4D2C4">
      <w:pPr>
        <w:spacing w:line="360" w:lineRule="auto"/>
        <w:jc w:val="left"/>
        <w:rPr>
          <w:rFonts w:hint="eastAsia" w:ascii="宋体" w:hAnsi="宋体" w:eastAsia="宋体" w:cs="宋体"/>
          <w:color w:val="auto"/>
          <w:sz w:val="24"/>
          <w:highlight w:val="none"/>
        </w:rPr>
      </w:pPr>
    </w:p>
    <w:p w14:paraId="7B39BB21">
      <w:pPr>
        <w:spacing w:line="360" w:lineRule="auto"/>
        <w:ind w:left="-2" w:right="-817"/>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法定代表人或者委托代理人（签字）：</w:t>
      </w:r>
    </w:p>
    <w:p w14:paraId="7AE41C38">
      <w:pPr>
        <w:spacing w:line="360" w:lineRule="auto"/>
        <w:ind w:left="-3" w:right="-817" w:hanging="2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名称（</w:t>
      </w:r>
      <w:r>
        <w:rPr>
          <w:rFonts w:hint="eastAsia" w:ascii="宋体" w:hAnsi="宋体" w:cs="宋体"/>
          <w:color w:val="auto"/>
          <w:sz w:val="24"/>
          <w:highlight w:val="none"/>
          <w:lang w:eastAsia="zh-CN"/>
        </w:rPr>
        <w:t>公章</w:t>
      </w:r>
      <w:r>
        <w:rPr>
          <w:rFonts w:hint="eastAsia" w:ascii="宋体" w:hAnsi="宋体" w:eastAsia="宋体" w:cs="宋体"/>
          <w:color w:val="auto"/>
          <w:sz w:val="24"/>
          <w:highlight w:val="none"/>
        </w:rPr>
        <w:t>）：</w:t>
      </w:r>
    </w:p>
    <w:p w14:paraId="0CE21B33">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 w:val="24"/>
          <w:highlight w:val="none"/>
        </w:rPr>
        <w:t xml:space="preserve">                                    日期：    年   月   日</w:t>
      </w:r>
    </w:p>
    <w:p w14:paraId="0D4C6EBA">
      <w:pPr>
        <w:spacing w:line="360" w:lineRule="auto"/>
        <w:jc w:val="center"/>
        <w:rPr>
          <w:rFonts w:hint="eastAsia" w:ascii="宋体" w:hAnsi="宋体" w:eastAsia="宋体" w:cs="宋体"/>
          <w:b/>
          <w:color w:val="auto"/>
          <w:sz w:val="28"/>
          <w:szCs w:val="28"/>
          <w:highlight w:val="none"/>
        </w:rPr>
      </w:pPr>
    </w:p>
    <w:p w14:paraId="0B93CB2B">
      <w:pPr>
        <w:spacing w:line="360" w:lineRule="auto"/>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24"/>
          <w:highlight w:val="none"/>
        </w:rPr>
        <w:t>4.</w:t>
      </w:r>
      <w:r>
        <w:rPr>
          <w:rFonts w:hint="eastAsia" w:ascii="宋体" w:hAnsi="宋体" w:eastAsia="宋体" w:cs="宋体"/>
          <w:color w:val="auto"/>
          <w:highlight w:val="none"/>
        </w:rPr>
        <w:t xml:space="preserve"> </w:t>
      </w:r>
      <w:r>
        <w:rPr>
          <w:rFonts w:hint="eastAsia" w:ascii="宋体" w:hAnsi="宋体" w:eastAsia="宋体" w:cs="宋体"/>
          <w:b/>
          <w:color w:val="auto"/>
          <w:sz w:val="28"/>
          <w:szCs w:val="28"/>
          <w:highlight w:val="none"/>
          <w:lang w:eastAsia="zh-CN"/>
        </w:rPr>
        <w:t>供应商</w:t>
      </w:r>
      <w:r>
        <w:rPr>
          <w:rFonts w:hint="eastAsia" w:ascii="宋体" w:hAnsi="宋体" w:eastAsia="宋体" w:cs="宋体"/>
          <w:b/>
          <w:color w:val="auto"/>
          <w:sz w:val="28"/>
          <w:szCs w:val="28"/>
          <w:highlight w:val="none"/>
        </w:rPr>
        <w:t>直接管理关系信息表</w:t>
      </w:r>
    </w:p>
    <w:p w14:paraId="08B9C4B2">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lang w:eastAsia="zh-CN"/>
        </w:rPr>
        <w:t>供应商</w:t>
      </w:r>
      <w:r>
        <w:rPr>
          <w:rFonts w:hint="eastAsia" w:ascii="宋体" w:hAnsi="宋体" w:eastAsia="宋体" w:cs="宋体"/>
          <w:b/>
          <w:color w:val="auto"/>
          <w:sz w:val="32"/>
          <w:szCs w:val="32"/>
          <w:highlight w:val="none"/>
        </w:rPr>
        <w:t>直接管理关系信息表</w:t>
      </w:r>
    </w:p>
    <w:tbl>
      <w:tblPr>
        <w:tblStyle w:val="35"/>
        <w:tblW w:w="0" w:type="auto"/>
        <w:tblInd w:w="-120" w:type="dxa"/>
        <w:shd w:val="clear" w:color="auto" w:fill="FBFBFB"/>
        <w:tblLayout w:type="fixed"/>
        <w:tblCellMar>
          <w:top w:w="120" w:type="dxa"/>
          <w:left w:w="120" w:type="dxa"/>
          <w:bottom w:w="120" w:type="dxa"/>
          <w:right w:w="120" w:type="dxa"/>
        </w:tblCellMar>
      </w:tblPr>
      <w:tblGrid>
        <w:gridCol w:w="1005"/>
        <w:gridCol w:w="2659"/>
        <w:gridCol w:w="3924"/>
        <w:gridCol w:w="2064"/>
      </w:tblGrid>
      <w:tr w14:paraId="677A0A09">
        <w:tblPrEx>
          <w:shd w:val="clear" w:color="auto" w:fill="FBFBFB"/>
          <w:tblCellMar>
            <w:top w:w="120" w:type="dxa"/>
            <w:left w:w="120" w:type="dxa"/>
            <w:bottom w:w="120" w:type="dxa"/>
            <w:right w:w="120" w:type="dxa"/>
          </w:tblCellMar>
        </w:tblPrEx>
        <w:trPr>
          <w:tblHeader/>
        </w:trPr>
        <w:tc>
          <w:tcPr>
            <w:tcW w:w="1005" w:type="dxa"/>
            <w:tcBorders>
              <w:top w:val="single" w:color="auto" w:sz="4" w:space="0"/>
              <w:left w:val="single" w:color="auto" w:sz="4" w:space="0"/>
              <w:bottom w:val="single" w:color="auto" w:sz="4" w:space="0"/>
              <w:right w:val="single" w:color="auto" w:sz="4" w:space="0"/>
            </w:tcBorders>
            <w:shd w:val="clear" w:color="auto" w:fill="EAE3D8"/>
            <w:noWrap w:val="0"/>
            <w:tcMar>
              <w:top w:w="120" w:type="dxa"/>
              <w:left w:w="120" w:type="dxa"/>
              <w:bottom w:w="120" w:type="dxa"/>
              <w:right w:w="120" w:type="dxa"/>
            </w:tcMar>
            <w:vAlign w:val="center"/>
          </w:tcPr>
          <w:p w14:paraId="240750DF">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2659" w:type="dxa"/>
            <w:tcBorders>
              <w:top w:val="single" w:color="auto" w:sz="4" w:space="0"/>
              <w:left w:val="single" w:color="auto" w:sz="4" w:space="0"/>
              <w:bottom w:val="single" w:color="auto" w:sz="4" w:space="0"/>
              <w:right w:val="single" w:color="auto" w:sz="4" w:space="0"/>
            </w:tcBorders>
            <w:shd w:val="clear" w:color="auto" w:fill="EAE3D8"/>
            <w:noWrap w:val="0"/>
            <w:tcMar>
              <w:top w:w="120" w:type="dxa"/>
              <w:left w:w="120" w:type="dxa"/>
              <w:bottom w:w="120" w:type="dxa"/>
              <w:right w:w="120" w:type="dxa"/>
            </w:tcMar>
            <w:vAlign w:val="center"/>
          </w:tcPr>
          <w:p w14:paraId="128BAB21">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直接管理关系单位名称</w:t>
            </w:r>
          </w:p>
        </w:tc>
        <w:tc>
          <w:tcPr>
            <w:tcW w:w="3924" w:type="dxa"/>
            <w:tcBorders>
              <w:top w:val="single" w:color="auto" w:sz="4" w:space="0"/>
              <w:left w:val="single" w:color="auto" w:sz="4" w:space="0"/>
              <w:bottom w:val="single" w:color="auto" w:sz="4" w:space="0"/>
              <w:right w:val="single" w:color="auto" w:sz="4" w:space="0"/>
            </w:tcBorders>
            <w:shd w:val="clear" w:color="auto" w:fill="EAE3D8"/>
            <w:noWrap w:val="0"/>
            <w:tcMar>
              <w:top w:w="120" w:type="dxa"/>
              <w:left w:w="120" w:type="dxa"/>
              <w:bottom w:w="120" w:type="dxa"/>
              <w:right w:w="120" w:type="dxa"/>
            </w:tcMar>
            <w:vAlign w:val="center"/>
          </w:tcPr>
          <w:p w14:paraId="4D4D2677">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统一社会信用代码</w:t>
            </w:r>
          </w:p>
        </w:tc>
        <w:tc>
          <w:tcPr>
            <w:tcW w:w="2064" w:type="dxa"/>
            <w:tcBorders>
              <w:top w:val="single" w:color="auto" w:sz="4" w:space="0"/>
              <w:left w:val="single" w:color="auto" w:sz="4" w:space="0"/>
              <w:bottom w:val="single" w:color="auto" w:sz="4" w:space="0"/>
              <w:right w:val="single" w:color="auto" w:sz="4" w:space="0"/>
            </w:tcBorders>
            <w:shd w:val="clear" w:color="auto" w:fill="EAE3D8"/>
            <w:noWrap w:val="0"/>
            <w:tcMar>
              <w:top w:w="120" w:type="dxa"/>
              <w:left w:w="120" w:type="dxa"/>
              <w:bottom w:w="120" w:type="dxa"/>
              <w:right w:w="120" w:type="dxa"/>
            </w:tcMar>
            <w:vAlign w:val="center"/>
          </w:tcPr>
          <w:p w14:paraId="74142091">
            <w:pPr>
              <w:spacing w:line="360" w:lineRule="auto"/>
              <w:jc w:val="center"/>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相互关系</w:t>
            </w:r>
          </w:p>
        </w:tc>
      </w:tr>
      <w:tr w14:paraId="471DCA20">
        <w:tblPrEx>
          <w:shd w:val="clear" w:color="auto" w:fill="FBFBFB"/>
          <w:tblCellMar>
            <w:top w:w="120" w:type="dxa"/>
            <w:left w:w="120" w:type="dxa"/>
            <w:bottom w:w="120" w:type="dxa"/>
            <w:right w:w="120" w:type="dxa"/>
          </w:tblCellMar>
        </w:tblPrEx>
        <w:tc>
          <w:tcPr>
            <w:tcW w:w="1005"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39C52536">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2659"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3F3BBBB3">
            <w:pPr>
              <w:spacing w:line="360" w:lineRule="auto"/>
              <w:jc w:val="center"/>
              <w:rPr>
                <w:rFonts w:hint="eastAsia" w:ascii="宋体" w:hAnsi="宋体" w:eastAsia="宋体" w:cs="宋体"/>
                <w:color w:val="auto"/>
                <w:sz w:val="24"/>
                <w:highlight w:val="none"/>
              </w:rPr>
            </w:pPr>
          </w:p>
        </w:tc>
        <w:tc>
          <w:tcPr>
            <w:tcW w:w="3924"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50504236">
            <w:pPr>
              <w:spacing w:line="360" w:lineRule="auto"/>
              <w:jc w:val="center"/>
              <w:rPr>
                <w:rFonts w:hint="eastAsia" w:ascii="宋体" w:hAnsi="宋体" w:eastAsia="宋体" w:cs="宋体"/>
                <w:color w:val="auto"/>
                <w:sz w:val="24"/>
                <w:highlight w:val="none"/>
              </w:rPr>
            </w:pPr>
          </w:p>
        </w:tc>
        <w:tc>
          <w:tcPr>
            <w:tcW w:w="2064"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3D6F03C9">
            <w:pPr>
              <w:spacing w:line="360" w:lineRule="auto"/>
              <w:jc w:val="center"/>
              <w:rPr>
                <w:rFonts w:hint="eastAsia" w:ascii="宋体" w:hAnsi="宋体" w:eastAsia="宋体" w:cs="宋体"/>
                <w:color w:val="auto"/>
                <w:sz w:val="24"/>
                <w:highlight w:val="none"/>
              </w:rPr>
            </w:pPr>
          </w:p>
        </w:tc>
      </w:tr>
      <w:tr w14:paraId="1F7E62E9">
        <w:tblPrEx>
          <w:shd w:val="clear" w:color="auto" w:fill="FBFBFB"/>
          <w:tblCellMar>
            <w:top w:w="120" w:type="dxa"/>
            <w:left w:w="120" w:type="dxa"/>
            <w:bottom w:w="120" w:type="dxa"/>
            <w:right w:w="120" w:type="dxa"/>
          </w:tblCellMar>
        </w:tblPrEx>
        <w:tc>
          <w:tcPr>
            <w:tcW w:w="1005"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1D830B43">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2659"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1FE07BCB">
            <w:pPr>
              <w:spacing w:line="360" w:lineRule="auto"/>
              <w:jc w:val="center"/>
              <w:rPr>
                <w:rFonts w:hint="eastAsia" w:ascii="宋体" w:hAnsi="宋体" w:eastAsia="宋体" w:cs="宋体"/>
                <w:color w:val="auto"/>
                <w:sz w:val="24"/>
                <w:highlight w:val="none"/>
              </w:rPr>
            </w:pPr>
          </w:p>
        </w:tc>
        <w:tc>
          <w:tcPr>
            <w:tcW w:w="3924"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1393A7CA">
            <w:pPr>
              <w:spacing w:line="360" w:lineRule="auto"/>
              <w:jc w:val="center"/>
              <w:rPr>
                <w:rFonts w:hint="eastAsia" w:ascii="宋体" w:hAnsi="宋体" w:eastAsia="宋体" w:cs="宋体"/>
                <w:color w:val="auto"/>
                <w:sz w:val="24"/>
                <w:highlight w:val="none"/>
              </w:rPr>
            </w:pPr>
          </w:p>
        </w:tc>
        <w:tc>
          <w:tcPr>
            <w:tcW w:w="2064"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15A97737">
            <w:pPr>
              <w:spacing w:line="360" w:lineRule="auto"/>
              <w:jc w:val="center"/>
              <w:rPr>
                <w:rFonts w:hint="eastAsia" w:ascii="宋体" w:hAnsi="宋体" w:eastAsia="宋体" w:cs="宋体"/>
                <w:color w:val="auto"/>
                <w:sz w:val="24"/>
                <w:highlight w:val="none"/>
              </w:rPr>
            </w:pPr>
          </w:p>
        </w:tc>
      </w:tr>
      <w:tr w14:paraId="142C11FF">
        <w:tblPrEx>
          <w:shd w:val="clear" w:color="auto" w:fill="FBFBFB"/>
          <w:tblCellMar>
            <w:top w:w="120" w:type="dxa"/>
            <w:left w:w="120" w:type="dxa"/>
            <w:bottom w:w="120" w:type="dxa"/>
            <w:right w:w="120" w:type="dxa"/>
          </w:tblCellMar>
        </w:tblPrEx>
        <w:tc>
          <w:tcPr>
            <w:tcW w:w="1005"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7D2631DF">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2659"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520A932C">
            <w:pPr>
              <w:spacing w:line="360" w:lineRule="auto"/>
              <w:jc w:val="center"/>
              <w:rPr>
                <w:rFonts w:hint="eastAsia" w:ascii="宋体" w:hAnsi="宋体" w:eastAsia="宋体" w:cs="宋体"/>
                <w:color w:val="auto"/>
                <w:sz w:val="24"/>
                <w:highlight w:val="none"/>
              </w:rPr>
            </w:pPr>
          </w:p>
        </w:tc>
        <w:tc>
          <w:tcPr>
            <w:tcW w:w="3924"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5FC8FD40">
            <w:pPr>
              <w:spacing w:line="360" w:lineRule="auto"/>
              <w:jc w:val="center"/>
              <w:rPr>
                <w:rFonts w:hint="eastAsia" w:ascii="宋体" w:hAnsi="宋体" w:eastAsia="宋体" w:cs="宋体"/>
                <w:color w:val="auto"/>
                <w:sz w:val="24"/>
                <w:highlight w:val="none"/>
              </w:rPr>
            </w:pPr>
          </w:p>
        </w:tc>
        <w:tc>
          <w:tcPr>
            <w:tcW w:w="2064"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21851F13">
            <w:pPr>
              <w:spacing w:line="360" w:lineRule="auto"/>
              <w:jc w:val="center"/>
              <w:rPr>
                <w:rFonts w:hint="eastAsia" w:ascii="宋体" w:hAnsi="宋体" w:eastAsia="宋体" w:cs="宋体"/>
                <w:color w:val="auto"/>
                <w:sz w:val="24"/>
                <w:highlight w:val="none"/>
              </w:rPr>
            </w:pPr>
          </w:p>
        </w:tc>
      </w:tr>
      <w:tr w14:paraId="6DBFA4AE">
        <w:tblPrEx>
          <w:shd w:val="clear" w:color="auto" w:fill="FBFBFB"/>
          <w:tblCellMar>
            <w:top w:w="120" w:type="dxa"/>
            <w:left w:w="120" w:type="dxa"/>
            <w:bottom w:w="120" w:type="dxa"/>
            <w:right w:w="120" w:type="dxa"/>
          </w:tblCellMar>
        </w:tblPrEx>
        <w:tc>
          <w:tcPr>
            <w:tcW w:w="1005"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3A42B295">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2659"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31D9289F">
            <w:pPr>
              <w:spacing w:line="360" w:lineRule="auto"/>
              <w:jc w:val="center"/>
              <w:rPr>
                <w:rFonts w:hint="eastAsia" w:ascii="宋体" w:hAnsi="宋体" w:eastAsia="宋体" w:cs="宋体"/>
                <w:color w:val="auto"/>
                <w:sz w:val="24"/>
                <w:highlight w:val="none"/>
              </w:rPr>
            </w:pPr>
          </w:p>
        </w:tc>
        <w:tc>
          <w:tcPr>
            <w:tcW w:w="3924"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673B107D">
            <w:pPr>
              <w:spacing w:line="360" w:lineRule="auto"/>
              <w:jc w:val="center"/>
              <w:rPr>
                <w:rFonts w:hint="eastAsia" w:ascii="宋体" w:hAnsi="宋体" w:eastAsia="宋体" w:cs="宋体"/>
                <w:color w:val="auto"/>
                <w:sz w:val="24"/>
                <w:highlight w:val="none"/>
              </w:rPr>
            </w:pPr>
          </w:p>
        </w:tc>
        <w:tc>
          <w:tcPr>
            <w:tcW w:w="2064" w:type="dxa"/>
            <w:tcBorders>
              <w:top w:val="single" w:color="auto" w:sz="4" w:space="0"/>
              <w:left w:val="single" w:color="auto" w:sz="4" w:space="0"/>
              <w:bottom w:val="single" w:color="auto" w:sz="4" w:space="0"/>
              <w:right w:val="single" w:color="auto" w:sz="4" w:space="0"/>
            </w:tcBorders>
            <w:shd w:val="clear" w:color="auto" w:fill="F9F9F9"/>
            <w:noWrap w:val="0"/>
            <w:tcMar>
              <w:top w:w="120" w:type="dxa"/>
              <w:left w:w="120" w:type="dxa"/>
              <w:bottom w:w="120" w:type="dxa"/>
              <w:right w:w="120" w:type="dxa"/>
            </w:tcMar>
            <w:vAlign w:val="center"/>
          </w:tcPr>
          <w:p w14:paraId="5B5DDB7D">
            <w:pPr>
              <w:spacing w:line="360" w:lineRule="auto"/>
              <w:jc w:val="center"/>
              <w:rPr>
                <w:rFonts w:hint="eastAsia" w:ascii="宋体" w:hAnsi="宋体" w:eastAsia="宋体" w:cs="宋体"/>
                <w:color w:val="auto"/>
                <w:sz w:val="24"/>
                <w:highlight w:val="none"/>
              </w:rPr>
            </w:pPr>
          </w:p>
        </w:tc>
      </w:tr>
    </w:tbl>
    <w:p w14:paraId="5025D190">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w:t>
      </w:r>
    </w:p>
    <w:p w14:paraId="60A3BC5A">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1.管理关系：是指不具有出资持股关系的其他单位之间存在的管理与被管理关系，如一些上下级关系的事业单位和团体组织。</w:t>
      </w:r>
    </w:p>
    <w:p w14:paraId="045ACED0">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pacing w:val="-6"/>
          <w:sz w:val="24"/>
          <w:highlight w:val="none"/>
        </w:rPr>
        <w:t>本表所指的管理关系仅限于直接管理关系，不包括间接的管理关系。</w:t>
      </w:r>
    </w:p>
    <w:p w14:paraId="775CA92E">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3.供应商不存在直接管理关系的，则在“</w:t>
      </w:r>
      <w:r>
        <w:rPr>
          <w:rFonts w:hint="eastAsia" w:ascii="宋体" w:hAnsi="宋体" w:eastAsia="宋体" w:cs="宋体"/>
          <w:b/>
          <w:bCs/>
          <w:color w:val="auto"/>
          <w:sz w:val="24"/>
          <w:highlight w:val="none"/>
        </w:rPr>
        <w:t>直接管理关系单位名称</w:t>
      </w:r>
      <w:r>
        <w:rPr>
          <w:rFonts w:hint="eastAsia" w:ascii="宋体" w:hAnsi="宋体" w:eastAsia="宋体" w:cs="宋体"/>
          <w:color w:val="auto"/>
          <w:sz w:val="24"/>
          <w:highlight w:val="none"/>
        </w:rPr>
        <w:t>”中填“无”。</w:t>
      </w:r>
    </w:p>
    <w:p w14:paraId="47DC5654">
      <w:pPr>
        <w:spacing w:line="360" w:lineRule="auto"/>
        <w:jc w:val="left"/>
        <w:rPr>
          <w:rFonts w:hint="eastAsia" w:ascii="宋体" w:hAnsi="宋体" w:eastAsia="宋体" w:cs="宋体"/>
          <w:color w:val="auto"/>
          <w:sz w:val="24"/>
          <w:highlight w:val="none"/>
        </w:rPr>
      </w:pPr>
    </w:p>
    <w:p w14:paraId="68182087">
      <w:pPr>
        <w:spacing w:line="360" w:lineRule="auto"/>
        <w:jc w:val="left"/>
        <w:rPr>
          <w:rFonts w:hint="eastAsia" w:ascii="宋体" w:hAnsi="宋体" w:eastAsia="宋体" w:cs="宋体"/>
          <w:color w:val="auto"/>
          <w:sz w:val="24"/>
          <w:highlight w:val="none"/>
        </w:rPr>
      </w:pPr>
    </w:p>
    <w:p w14:paraId="7EE5A68C">
      <w:pPr>
        <w:spacing w:line="360" w:lineRule="auto"/>
        <w:jc w:val="left"/>
        <w:rPr>
          <w:rFonts w:hint="eastAsia" w:ascii="宋体" w:hAnsi="宋体" w:eastAsia="宋体" w:cs="宋体"/>
          <w:color w:val="auto"/>
          <w:sz w:val="24"/>
          <w:highlight w:val="none"/>
        </w:rPr>
      </w:pPr>
    </w:p>
    <w:p w14:paraId="31DCCDDF">
      <w:pPr>
        <w:spacing w:line="360" w:lineRule="auto"/>
        <w:jc w:val="left"/>
        <w:rPr>
          <w:rFonts w:hint="eastAsia" w:ascii="宋体" w:hAnsi="宋体" w:eastAsia="宋体" w:cs="宋体"/>
          <w:color w:val="auto"/>
          <w:sz w:val="24"/>
          <w:highlight w:val="none"/>
        </w:rPr>
      </w:pPr>
    </w:p>
    <w:p w14:paraId="24504217">
      <w:pPr>
        <w:spacing w:line="360" w:lineRule="auto"/>
        <w:ind w:left="-2" w:right="-817"/>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法定代表人或者委托代理人（签字）：</w:t>
      </w:r>
    </w:p>
    <w:p w14:paraId="1ED651EA">
      <w:pPr>
        <w:spacing w:line="360" w:lineRule="auto"/>
        <w:ind w:left="-3" w:right="-817" w:hanging="2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名称（</w:t>
      </w:r>
      <w:r>
        <w:rPr>
          <w:rFonts w:hint="eastAsia" w:ascii="宋体" w:hAnsi="宋体" w:cs="宋体"/>
          <w:color w:val="auto"/>
          <w:sz w:val="24"/>
          <w:highlight w:val="none"/>
          <w:lang w:eastAsia="zh-CN"/>
        </w:rPr>
        <w:t>公章</w:t>
      </w:r>
      <w:r>
        <w:rPr>
          <w:rFonts w:hint="eastAsia" w:ascii="宋体" w:hAnsi="宋体" w:eastAsia="宋体" w:cs="宋体"/>
          <w:color w:val="auto"/>
          <w:sz w:val="24"/>
          <w:highlight w:val="none"/>
        </w:rPr>
        <w:t>）：</w:t>
      </w:r>
    </w:p>
    <w:p w14:paraId="02DDDBC8">
      <w:pPr>
        <w:spacing w:line="360" w:lineRule="auto"/>
        <w:ind w:right="480" w:firstLine="240"/>
        <w:jc w:val="left"/>
        <w:rPr>
          <w:rFonts w:hint="eastAsia" w:ascii="宋体" w:hAnsi="宋体" w:eastAsia="宋体" w:cs="宋体"/>
          <w:color w:val="auto"/>
          <w:szCs w:val="21"/>
          <w:highlight w:val="none"/>
        </w:rPr>
      </w:pPr>
      <w:r>
        <w:rPr>
          <w:rFonts w:hint="eastAsia" w:ascii="宋体" w:hAnsi="宋体" w:eastAsia="宋体" w:cs="宋体"/>
          <w:color w:val="auto"/>
          <w:sz w:val="24"/>
          <w:highlight w:val="none"/>
        </w:rPr>
        <w:t xml:space="preserve">                                日期：    年   月   日</w:t>
      </w:r>
    </w:p>
    <w:p w14:paraId="324C9832">
      <w:pPr>
        <w:spacing w:before="120" w:after="50" w:line="360" w:lineRule="auto"/>
        <w:jc w:val="left"/>
        <w:rPr>
          <w:rFonts w:hint="eastAsia" w:ascii="宋体" w:hAnsi="宋体" w:eastAsia="宋体" w:cs="宋体"/>
          <w:color w:val="auto"/>
          <w:sz w:val="24"/>
          <w:highlight w:val="none"/>
        </w:rPr>
      </w:pPr>
    </w:p>
    <w:p w14:paraId="60B7CC22">
      <w:pPr>
        <w:spacing w:line="320" w:lineRule="exact"/>
        <w:jc w:val="center"/>
        <w:rPr>
          <w:rFonts w:hint="eastAsia" w:ascii="宋体" w:hAnsi="宋体" w:eastAsia="宋体" w:cs="宋体"/>
          <w:b/>
          <w:color w:val="auto"/>
          <w:sz w:val="32"/>
          <w:szCs w:val="32"/>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b/>
          <w:color w:val="auto"/>
          <w:sz w:val="32"/>
          <w:szCs w:val="32"/>
          <w:highlight w:val="none"/>
        </w:rPr>
        <w:t>竞标声明</w:t>
      </w:r>
    </w:p>
    <w:p w14:paraId="41AEFE08">
      <w:pPr>
        <w:spacing w:line="320" w:lineRule="exact"/>
        <w:jc w:val="center"/>
        <w:rPr>
          <w:rFonts w:hint="eastAsia" w:ascii="宋体" w:hAnsi="宋体" w:eastAsia="宋体" w:cs="宋体"/>
          <w:color w:val="auto"/>
          <w:sz w:val="24"/>
          <w:szCs w:val="20"/>
          <w:highlight w:val="none"/>
        </w:rPr>
      </w:pPr>
    </w:p>
    <w:p w14:paraId="673F6A4D">
      <w:pPr>
        <w:spacing w:line="360" w:lineRule="auto"/>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（采购人名称）</w:t>
      </w:r>
      <w:r>
        <w:rPr>
          <w:rFonts w:hint="eastAsia" w:ascii="宋体" w:hAnsi="宋体" w:eastAsia="宋体" w:cs="宋体"/>
          <w:color w:val="auto"/>
          <w:sz w:val="24"/>
          <w:highlight w:val="none"/>
        </w:rPr>
        <w:t>：</w:t>
      </w:r>
    </w:p>
    <w:p w14:paraId="418A601E">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（供应商名称）</w:t>
      </w:r>
      <w:r>
        <w:rPr>
          <w:rFonts w:hint="eastAsia" w:ascii="宋体" w:hAnsi="宋体" w:eastAsia="宋体" w:cs="宋体"/>
          <w:color w:val="auto"/>
          <w:sz w:val="24"/>
          <w:highlight w:val="none"/>
        </w:rPr>
        <w:t>系中华人民共和国合法供应商，经营地址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C128168">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我方愿意参加贵方组织的</w:t>
      </w:r>
      <w:r>
        <w:rPr>
          <w:rFonts w:hint="eastAsia" w:ascii="宋体" w:hAnsi="宋体" w:eastAsia="宋体" w:cs="宋体"/>
          <w:color w:val="auto"/>
          <w:sz w:val="24"/>
          <w:highlight w:val="none"/>
          <w:u w:val="single"/>
        </w:rPr>
        <w:t>（项目名称）</w:t>
      </w:r>
      <w:r>
        <w:rPr>
          <w:rFonts w:hint="eastAsia" w:ascii="宋体" w:hAnsi="宋体" w:eastAsia="宋体" w:cs="宋体"/>
          <w:color w:val="auto"/>
          <w:sz w:val="24"/>
          <w:highlight w:val="none"/>
        </w:rPr>
        <w:t>项目的</w:t>
      </w:r>
      <w:r>
        <w:rPr>
          <w:rFonts w:hint="eastAsia" w:ascii="宋体" w:hAnsi="宋体" w:eastAsia="宋体" w:cs="宋体"/>
          <w:color w:val="auto"/>
          <w:sz w:val="24"/>
          <w:highlight w:val="none"/>
        </w:rPr>
        <w:t>竞标</w:t>
      </w:r>
      <w:r>
        <w:rPr>
          <w:rFonts w:hint="eastAsia" w:ascii="宋体" w:hAnsi="宋体" w:eastAsia="宋体" w:cs="宋体"/>
          <w:color w:val="auto"/>
          <w:sz w:val="24"/>
          <w:highlight w:val="none"/>
        </w:rPr>
        <w:t>，为便于贵方公正、择优地确定成交供应商及其竞标产品和服务，我方就本次竞标有关事项郑重声明如下：</w:t>
      </w:r>
    </w:p>
    <w:p w14:paraId="20EF19B6">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1.我方向贵方提交的所有响应文件、资料都是准确的和真实的。</w:t>
      </w:r>
    </w:p>
    <w:p w14:paraId="73AE72DC">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2.我方不是为本次采购项目提供整体设计、规范编制或者项目管理、监理、检测等服务的供应商。</w:t>
      </w:r>
    </w:p>
    <w:p w14:paraId="39B43732">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3.在此，我方宣布同意如下：</w:t>
      </w:r>
    </w:p>
    <w:p w14:paraId="11E30FF7">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（1）将按磋商文件的约定履行合同责任和义务；</w:t>
      </w:r>
    </w:p>
    <w:p w14:paraId="79F9FFB3">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（2）已详细审查全部磋商文件，包括澄清或者更正公告（如有）；</w:t>
      </w:r>
    </w:p>
    <w:p w14:paraId="29780AEA">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（3）同意提供按照贵方可能要求的与磋商有关的一切数据或者资料；</w:t>
      </w:r>
    </w:p>
    <w:p w14:paraId="2A67A932">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（4）响应磋商文件规定的</w:t>
      </w:r>
      <w:r>
        <w:rPr>
          <w:rFonts w:hint="eastAsia" w:ascii="宋体" w:hAnsi="宋体" w:eastAsia="宋体" w:cs="宋体"/>
          <w:color w:val="auto"/>
          <w:sz w:val="24"/>
          <w:highlight w:val="none"/>
        </w:rPr>
        <w:t>竞标有效期</w:t>
      </w:r>
      <w:r>
        <w:rPr>
          <w:rFonts w:hint="eastAsia" w:ascii="宋体" w:hAnsi="宋体" w:eastAsia="宋体" w:cs="宋体"/>
          <w:color w:val="auto"/>
          <w:sz w:val="24"/>
          <w:highlight w:val="none"/>
        </w:rPr>
        <w:t>。</w:t>
      </w:r>
    </w:p>
    <w:p w14:paraId="2B4543F9">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4.我方承诺符合《中华人民共和国政府采购法》第二十二条规定：</w:t>
      </w:r>
    </w:p>
    <w:p w14:paraId="73453798">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（1）具有独立承担民事责任的能力；</w:t>
      </w:r>
    </w:p>
    <w:p w14:paraId="5ABD6039">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（2）具有良好的商业信誉和健全的财务会计制度；</w:t>
      </w:r>
    </w:p>
    <w:p w14:paraId="08C11D69">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（3）具有履行合同所必需的设备和专业技术能力；</w:t>
      </w:r>
    </w:p>
    <w:p w14:paraId="1918B4AF">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（4）有依法缴纳税收和社会保障资金的良好记录；</w:t>
      </w:r>
    </w:p>
    <w:p w14:paraId="5EFC68CC">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（5）参加采购活动前三年内，在经营活动中没有重大违法记录；</w:t>
      </w:r>
    </w:p>
    <w:p w14:paraId="0B8857C7">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（6）法律、行政法规规定的其他条件。</w:t>
      </w:r>
    </w:p>
    <w:p w14:paraId="3CD60442">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5.我方在此声明，我方在参加本项目的采购活动前三年内，在经营活动中没有重大违法记录（重大违法记录是指供应商因违法经营受到刑事处罚或者责令停产停业、吊销许可证或者执照、较大数额罚款等行政处罚），未被列入失信被执行人、重大税收违法失信主体、政府采购严重违法失信行为记录名单，完全符合《中华人民共和国政府采购法》第二十二条规定的供应商资格条件，我方对此声明负全部法律责任。</w:t>
      </w:r>
    </w:p>
    <w:p w14:paraId="44778ADA">
      <w:pPr>
        <w:pStyle w:val="45"/>
        <w:spacing w:line="360" w:lineRule="auto"/>
        <w:ind w:firstLine="480"/>
        <w:contextualSpacing/>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6.与本磋商有关的一切正式往来信函请寄：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邮政编号：</w:t>
      </w:r>
      <w:r>
        <w:rPr>
          <w:rFonts w:hint="eastAsia" w:ascii="宋体" w:hAnsi="宋体" w:eastAsia="宋体" w:cs="宋体"/>
          <w:color w:val="auto"/>
          <w:sz w:val="24"/>
          <w:szCs w:val="24"/>
          <w:highlight w:val="none"/>
          <w:u w:val="single"/>
        </w:rPr>
        <w:t xml:space="preserve">        </w:t>
      </w:r>
    </w:p>
    <w:p w14:paraId="170D7FC0">
      <w:pPr>
        <w:pStyle w:val="45"/>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电话/传真：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电子邮箱：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6B760CDC">
      <w:pPr>
        <w:pStyle w:val="221"/>
        <w:tabs>
          <w:tab w:val="left" w:pos="939"/>
        </w:tabs>
        <w:spacing w:line="360" w:lineRule="auto"/>
        <w:ind w:left="141"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开户银行：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账号：</w:t>
      </w:r>
      <w:r>
        <w:rPr>
          <w:rFonts w:hint="eastAsia" w:ascii="宋体" w:hAnsi="宋体" w:eastAsia="宋体" w:cs="宋体"/>
          <w:color w:val="auto"/>
          <w:sz w:val="24"/>
          <w:highlight w:val="none"/>
          <w:u w:val="single"/>
        </w:rPr>
        <w:t xml:space="preserve">                               </w:t>
      </w:r>
    </w:p>
    <w:p w14:paraId="73015E43">
      <w:pPr>
        <w:pStyle w:val="221"/>
        <w:tabs>
          <w:tab w:val="left" w:pos="939"/>
        </w:tabs>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7.以上事项如有虚假或者隐瞒，我方愿意承担一切后果，并不再寻求任何旨在减轻或者免除法律责任的辩解。</w:t>
      </w:r>
    </w:p>
    <w:p w14:paraId="2683017F">
      <w:pPr>
        <w:pStyle w:val="221"/>
        <w:tabs>
          <w:tab w:val="left" w:pos="939"/>
        </w:tabs>
        <w:spacing w:line="360" w:lineRule="auto"/>
        <w:ind w:left="141"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44A133E4">
      <w:pPr>
        <w:spacing w:line="360" w:lineRule="auto"/>
        <w:contextualSpacing/>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14:paraId="2994B29D">
      <w:pPr>
        <w:pStyle w:val="217"/>
        <w:rPr>
          <w:rFonts w:hint="eastAsia" w:ascii="宋体" w:hAnsi="宋体" w:eastAsia="宋体" w:cs="宋体"/>
          <w:color w:val="auto"/>
          <w:szCs w:val="21"/>
          <w:highlight w:val="none"/>
        </w:rPr>
      </w:pPr>
    </w:p>
    <w:p w14:paraId="65D39E6D">
      <w:pPr>
        <w:pStyle w:val="221"/>
        <w:tabs>
          <w:tab w:val="left" w:pos="939"/>
        </w:tabs>
        <w:spacing w:line="360" w:lineRule="auto"/>
        <w:ind w:left="0" w:firstLine="480"/>
        <w:rPr>
          <w:rFonts w:hint="eastAsia" w:ascii="宋体" w:hAnsi="宋体" w:eastAsia="宋体" w:cs="宋体"/>
          <w:color w:val="auto"/>
          <w:sz w:val="24"/>
          <w:highlight w:val="none"/>
        </w:rPr>
      </w:pPr>
    </w:p>
    <w:p w14:paraId="6FD833B9">
      <w:pPr>
        <w:pStyle w:val="221"/>
        <w:tabs>
          <w:tab w:val="left" w:pos="939"/>
        </w:tabs>
        <w:spacing w:line="360" w:lineRule="auto"/>
        <w:ind w:left="0" w:firstLine="336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法定代表人（签字或者盖章）：                                                </w:t>
      </w:r>
    </w:p>
    <w:p w14:paraId="6E7245E2">
      <w:pPr>
        <w:pStyle w:val="221"/>
        <w:tabs>
          <w:tab w:val="left" w:pos="939"/>
        </w:tabs>
        <w:spacing w:line="360" w:lineRule="auto"/>
        <w:ind w:left="0" w:firstLine="48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供应商（公章）</w:t>
      </w:r>
      <w:r>
        <w:rPr>
          <w:rFonts w:hint="eastAsia" w:ascii="宋体" w:hAnsi="宋体" w:eastAsia="宋体" w:cs="宋体"/>
          <w:color w:val="auto"/>
          <w:sz w:val="24"/>
          <w:highlight w:val="none"/>
        </w:rPr>
        <w:t xml:space="preserve">：                                          </w:t>
      </w:r>
    </w:p>
    <w:p w14:paraId="39F36585">
      <w:pPr>
        <w:pStyle w:val="221"/>
        <w:tabs>
          <w:tab w:val="left" w:pos="939"/>
        </w:tabs>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p w14:paraId="1F3A44C1">
      <w:pPr>
        <w:spacing w:line="360" w:lineRule="auto"/>
        <w:ind w:right="420"/>
        <w:contextualSpacing/>
        <w:jc w:val="left"/>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32"/>
          <w:szCs w:val="32"/>
          <w:highlight w:val="none"/>
        </w:rPr>
        <w:t>二、</w:t>
      </w:r>
      <w:r>
        <w:rPr>
          <w:rFonts w:hint="eastAsia" w:ascii="宋体" w:hAnsi="宋体" w:eastAsia="宋体" w:cs="宋体"/>
          <w:b/>
          <w:color w:val="auto"/>
          <w:sz w:val="32"/>
          <w:szCs w:val="32"/>
          <w:highlight w:val="none"/>
        </w:rPr>
        <w:t xml:space="preserve">报价文件格式 </w:t>
      </w:r>
    </w:p>
    <w:p w14:paraId="20E2D5F5">
      <w:pPr>
        <w:spacing w:before="156" w:after="50" w:line="360" w:lineRule="auto"/>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1.报价文件封面格式</w:t>
      </w:r>
    </w:p>
    <w:p w14:paraId="1A1E991B">
      <w:pPr>
        <w:spacing w:before="156" w:after="50"/>
        <w:rPr>
          <w:rFonts w:hint="eastAsia" w:ascii="宋体" w:hAnsi="宋体" w:eastAsia="宋体" w:cs="宋体"/>
          <w:bCs/>
          <w:color w:val="auto"/>
          <w:sz w:val="32"/>
          <w:szCs w:val="20"/>
          <w:highlight w:val="none"/>
        </w:rPr>
      </w:pPr>
      <w:r>
        <w:rPr>
          <w:rFonts w:hint="eastAsia" w:ascii="宋体" w:hAnsi="宋体" w:eastAsia="宋体" w:cs="宋体"/>
          <w:color w:val="auto"/>
          <w:sz w:val="24"/>
          <w:highlight w:val="none"/>
        </w:rPr>
        <w:t xml:space="preserve">                                                    </w:t>
      </w:r>
    </w:p>
    <w:p w14:paraId="3DEBD455">
      <w:pPr>
        <w:spacing w:before="156" w:after="50"/>
        <w:jc w:val="center"/>
        <w:rPr>
          <w:rFonts w:hint="eastAsia" w:ascii="宋体" w:hAnsi="宋体" w:eastAsia="宋体" w:cs="宋体"/>
          <w:color w:val="auto"/>
          <w:sz w:val="24"/>
          <w:szCs w:val="20"/>
          <w:highlight w:val="none"/>
        </w:rPr>
      </w:pPr>
      <w:r>
        <w:rPr>
          <w:rFonts w:hint="eastAsia" w:ascii="宋体" w:hAnsi="宋体" w:eastAsia="宋体" w:cs="宋体"/>
          <w:color w:val="auto"/>
          <w:sz w:val="44"/>
          <w:szCs w:val="44"/>
          <w:highlight w:val="none"/>
        </w:rPr>
        <w:t xml:space="preserve"> 响 应 文 件</w:t>
      </w:r>
    </w:p>
    <w:p w14:paraId="515C498B">
      <w:pPr>
        <w:spacing w:before="156" w:after="50"/>
        <w:rPr>
          <w:rFonts w:hint="eastAsia" w:ascii="宋体" w:hAnsi="宋体" w:eastAsia="宋体" w:cs="宋体"/>
          <w:color w:val="auto"/>
          <w:sz w:val="24"/>
          <w:szCs w:val="20"/>
          <w:highlight w:val="none"/>
        </w:rPr>
      </w:pPr>
    </w:p>
    <w:p w14:paraId="56285AE1">
      <w:pPr>
        <w:spacing w:before="156" w:after="50"/>
        <w:rPr>
          <w:rFonts w:hint="eastAsia" w:ascii="宋体" w:hAnsi="宋体" w:eastAsia="宋体" w:cs="宋体"/>
          <w:color w:val="auto"/>
          <w:sz w:val="24"/>
          <w:szCs w:val="20"/>
          <w:highlight w:val="none"/>
        </w:rPr>
      </w:pPr>
    </w:p>
    <w:p w14:paraId="12DF5B5F">
      <w:pPr>
        <w:spacing w:before="156" w:after="50"/>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报  价  文  件</w:t>
      </w:r>
    </w:p>
    <w:p w14:paraId="5C229D99">
      <w:pPr>
        <w:spacing w:before="156" w:after="50"/>
        <w:rPr>
          <w:rFonts w:hint="eastAsia" w:ascii="宋体" w:hAnsi="宋体" w:eastAsia="宋体" w:cs="宋体"/>
          <w:bCs/>
          <w:color w:val="auto"/>
          <w:sz w:val="24"/>
          <w:szCs w:val="20"/>
          <w:highlight w:val="none"/>
        </w:rPr>
      </w:pPr>
    </w:p>
    <w:p w14:paraId="61756C2F">
      <w:pPr>
        <w:spacing w:before="156" w:after="50"/>
        <w:rPr>
          <w:rFonts w:hint="eastAsia" w:ascii="宋体" w:hAnsi="宋体" w:eastAsia="宋体" w:cs="宋体"/>
          <w:bCs/>
          <w:color w:val="auto"/>
          <w:sz w:val="24"/>
          <w:szCs w:val="20"/>
          <w:highlight w:val="none"/>
        </w:rPr>
      </w:pPr>
    </w:p>
    <w:p w14:paraId="17DCD82A">
      <w:pPr>
        <w:spacing w:before="156" w:after="50"/>
        <w:rPr>
          <w:rFonts w:hint="eastAsia" w:ascii="宋体" w:hAnsi="宋体" w:eastAsia="宋体" w:cs="宋体"/>
          <w:bCs/>
          <w:color w:val="auto"/>
          <w:sz w:val="24"/>
          <w:szCs w:val="20"/>
          <w:highlight w:val="none"/>
        </w:rPr>
      </w:pPr>
    </w:p>
    <w:p w14:paraId="0F154DD5">
      <w:pPr>
        <w:spacing w:before="156" w:after="50"/>
        <w:rPr>
          <w:rFonts w:hint="eastAsia" w:ascii="宋体" w:hAnsi="宋体" w:eastAsia="宋体" w:cs="宋体"/>
          <w:bCs/>
          <w:color w:val="auto"/>
          <w:sz w:val="24"/>
          <w:szCs w:val="20"/>
          <w:highlight w:val="none"/>
        </w:rPr>
      </w:pPr>
    </w:p>
    <w:p w14:paraId="3FD62281">
      <w:pPr>
        <w:spacing w:before="156" w:after="50"/>
        <w:rPr>
          <w:rFonts w:hint="eastAsia" w:ascii="宋体" w:hAnsi="宋体" w:eastAsia="宋体" w:cs="宋体"/>
          <w:bCs/>
          <w:color w:val="auto"/>
          <w:sz w:val="24"/>
          <w:szCs w:val="20"/>
          <w:highlight w:val="none"/>
        </w:rPr>
      </w:pPr>
    </w:p>
    <w:p w14:paraId="45B24D06">
      <w:pPr>
        <w:spacing w:before="156" w:after="50"/>
        <w:ind w:firstLine="64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项目名称：</w:t>
      </w:r>
    </w:p>
    <w:p w14:paraId="08E8EC9F">
      <w:pPr>
        <w:spacing w:before="156" w:after="50"/>
        <w:ind w:firstLine="720"/>
        <w:rPr>
          <w:rFonts w:hint="eastAsia" w:ascii="宋体" w:hAnsi="宋体" w:eastAsia="宋体" w:cs="宋体"/>
          <w:bCs/>
          <w:color w:val="auto"/>
          <w:sz w:val="32"/>
          <w:szCs w:val="32"/>
          <w:highlight w:val="none"/>
        </w:rPr>
      </w:pPr>
    </w:p>
    <w:p w14:paraId="605B9F1B">
      <w:pPr>
        <w:spacing w:before="156" w:after="50"/>
        <w:ind w:firstLine="64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项目编号：</w:t>
      </w:r>
    </w:p>
    <w:p w14:paraId="28EED2F0">
      <w:pPr>
        <w:spacing w:before="156" w:after="50"/>
        <w:ind w:firstLine="72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 </w:t>
      </w:r>
    </w:p>
    <w:p w14:paraId="3DD03698">
      <w:pPr>
        <w:spacing w:before="156" w:after="50"/>
        <w:ind w:firstLine="64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所竞分标（如有则填写，无分标时填写“无”或者留空）：</w:t>
      </w:r>
    </w:p>
    <w:p w14:paraId="2B51B5EA">
      <w:pPr>
        <w:spacing w:before="156" w:after="50"/>
        <w:ind w:firstLine="720"/>
        <w:rPr>
          <w:rFonts w:hint="eastAsia" w:ascii="宋体" w:hAnsi="宋体" w:eastAsia="宋体" w:cs="宋体"/>
          <w:bCs/>
          <w:color w:val="auto"/>
          <w:sz w:val="32"/>
          <w:szCs w:val="32"/>
          <w:highlight w:val="none"/>
        </w:rPr>
      </w:pPr>
    </w:p>
    <w:p w14:paraId="37392EE2">
      <w:pPr>
        <w:pStyle w:val="203"/>
        <w:spacing w:before="50" w:after="50"/>
        <w:ind w:firstLine="64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供应商名称：</w:t>
      </w:r>
    </w:p>
    <w:p w14:paraId="7A0CFFC4">
      <w:pPr>
        <w:pStyle w:val="203"/>
        <w:spacing w:before="50" w:after="50"/>
        <w:ind w:firstLine="640"/>
        <w:rPr>
          <w:rFonts w:hint="eastAsia" w:ascii="宋体" w:hAnsi="宋体" w:eastAsia="宋体" w:cs="宋体"/>
          <w:bCs/>
          <w:color w:val="auto"/>
          <w:sz w:val="32"/>
          <w:szCs w:val="32"/>
          <w:highlight w:val="none"/>
        </w:rPr>
      </w:pPr>
    </w:p>
    <w:p w14:paraId="0A6495E6">
      <w:pPr>
        <w:pStyle w:val="203"/>
        <w:spacing w:before="50" w:after="50"/>
        <w:ind w:firstLine="720"/>
        <w:rPr>
          <w:rFonts w:hint="eastAsia" w:ascii="宋体" w:hAnsi="宋体" w:eastAsia="宋体" w:cs="宋体"/>
          <w:bCs/>
          <w:color w:val="auto"/>
          <w:sz w:val="32"/>
          <w:szCs w:val="32"/>
          <w:highlight w:val="none"/>
        </w:rPr>
      </w:pPr>
    </w:p>
    <w:p w14:paraId="4C67F297">
      <w:pPr>
        <w:pStyle w:val="203"/>
        <w:spacing w:before="50" w:after="50"/>
        <w:ind w:firstLine="0"/>
        <w:rPr>
          <w:rFonts w:hint="eastAsia" w:ascii="宋体" w:hAnsi="宋体" w:eastAsia="宋体" w:cs="宋体"/>
          <w:bCs/>
          <w:color w:val="auto"/>
          <w:sz w:val="32"/>
          <w:szCs w:val="32"/>
          <w:highlight w:val="none"/>
        </w:rPr>
      </w:pPr>
    </w:p>
    <w:p w14:paraId="6F8845EB">
      <w:pPr>
        <w:pStyle w:val="203"/>
        <w:spacing w:before="50" w:after="50"/>
        <w:ind w:firstLine="1280"/>
        <w:rPr>
          <w:rFonts w:hint="eastAsia" w:ascii="宋体" w:hAnsi="宋体" w:eastAsia="宋体" w:cs="宋体"/>
          <w:bCs/>
          <w:color w:val="auto"/>
          <w:sz w:val="32"/>
          <w:szCs w:val="32"/>
          <w:highlight w:val="none"/>
        </w:rPr>
      </w:pPr>
    </w:p>
    <w:p w14:paraId="59412B6A">
      <w:pPr>
        <w:spacing w:before="156" w:after="5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年    月    日</w:t>
      </w:r>
    </w:p>
    <w:p w14:paraId="15A07562">
      <w:pPr>
        <w:spacing w:before="156" w:after="50" w:line="360" w:lineRule="auto"/>
        <w:ind w:left="142"/>
        <w:jc w:val="left"/>
        <w:rPr>
          <w:rFonts w:hint="eastAsia" w:ascii="宋体" w:hAnsi="宋体" w:eastAsia="宋体" w:cs="宋体"/>
          <w:b/>
          <w:bCs/>
          <w:color w:val="auto"/>
          <w:sz w:val="24"/>
          <w:highlight w:val="none"/>
        </w:rPr>
      </w:pPr>
      <w:r>
        <w:rPr>
          <w:rFonts w:hint="eastAsia" w:ascii="宋体" w:hAnsi="宋体" w:eastAsia="宋体" w:cs="宋体"/>
          <w:color w:val="auto"/>
          <w:szCs w:val="21"/>
          <w:highlight w:val="none"/>
        </w:rPr>
        <w:br w:type="page" w:clear="all"/>
      </w:r>
      <w:r>
        <w:rPr>
          <w:rFonts w:hint="eastAsia" w:ascii="宋体" w:hAnsi="宋体" w:eastAsia="宋体" w:cs="宋体"/>
          <w:b/>
          <w:bCs/>
          <w:color w:val="auto"/>
          <w:sz w:val="32"/>
          <w:szCs w:val="32"/>
          <w:highlight w:val="none"/>
        </w:rPr>
        <w:t>2.报价文件目录</w:t>
      </w:r>
    </w:p>
    <w:p w14:paraId="2FB7240C">
      <w:pPr>
        <w:spacing w:line="520" w:lineRule="exact"/>
        <w:jc w:val="center"/>
        <w:rPr>
          <w:rFonts w:hint="eastAsia" w:ascii="宋体" w:hAnsi="宋体" w:eastAsia="宋体" w:cs="宋体"/>
          <w:bCs/>
          <w:color w:val="auto"/>
          <w:sz w:val="32"/>
          <w:szCs w:val="32"/>
          <w:highlight w:val="none"/>
        </w:rPr>
      </w:pPr>
      <w:r>
        <w:rPr>
          <w:rFonts w:hint="eastAsia" w:ascii="宋体" w:hAnsi="宋体" w:eastAsia="宋体" w:cs="宋体"/>
          <w:color w:val="auto"/>
          <w:sz w:val="32"/>
          <w:szCs w:val="32"/>
          <w:highlight w:val="none"/>
        </w:rPr>
        <w:t>根据磋商文件规定及供应商提供的材料自行编写目录（部分格式后附）。</w:t>
      </w:r>
      <w:r>
        <w:rPr>
          <w:rFonts w:hint="eastAsia" w:ascii="宋体" w:hAnsi="宋体" w:eastAsia="宋体" w:cs="宋体"/>
          <w:b/>
          <w:bCs/>
          <w:color w:val="auto"/>
          <w:sz w:val="32"/>
          <w:szCs w:val="32"/>
          <w:highlight w:val="none"/>
        </w:rPr>
        <w:br w:type="page" w:clear="all"/>
      </w:r>
      <w:r>
        <w:rPr>
          <w:rFonts w:hint="eastAsia" w:ascii="宋体" w:hAnsi="宋体" w:eastAsia="宋体" w:cs="宋体"/>
          <w:b/>
          <w:bCs w:val="0"/>
          <w:color w:val="auto"/>
          <w:sz w:val="44"/>
          <w:szCs w:val="44"/>
          <w:highlight w:val="none"/>
        </w:rPr>
        <w:t>竞  标  报</w:t>
      </w:r>
      <w:r>
        <w:rPr>
          <w:rFonts w:hint="eastAsia" w:ascii="宋体" w:hAnsi="宋体" w:eastAsia="宋体" w:cs="宋体"/>
          <w:b/>
          <w:bCs w:val="0"/>
          <w:color w:val="auto"/>
          <w:sz w:val="44"/>
          <w:szCs w:val="44"/>
          <w:highlight w:val="none"/>
        </w:rPr>
        <w:t xml:space="preserve">  价  表</w:t>
      </w:r>
    </w:p>
    <w:p w14:paraId="0B5A4D71">
      <w:pPr>
        <w:spacing w:line="440" w:lineRule="exact"/>
        <w:jc w:val="center"/>
        <w:rPr>
          <w:rFonts w:hint="eastAsia" w:ascii="宋体" w:hAnsi="宋体" w:eastAsia="宋体" w:cs="宋体"/>
          <w:bCs/>
          <w:color w:val="auto"/>
          <w:sz w:val="32"/>
          <w:szCs w:val="32"/>
          <w:highlight w:val="none"/>
        </w:rPr>
      </w:pPr>
    </w:p>
    <w:p w14:paraId="73F947B1">
      <w:pPr>
        <w:spacing w:line="360" w:lineRule="auto"/>
        <w:ind w:left="0" w:firstLine="638"/>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018E1482">
      <w:pPr>
        <w:spacing w:line="360" w:lineRule="auto"/>
        <w:ind w:left="0" w:firstLine="638"/>
        <w:contextualSpacing/>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分标（如有）：</w:t>
      </w:r>
      <w:r>
        <w:rPr>
          <w:rFonts w:hint="eastAsia" w:ascii="宋体" w:hAnsi="宋体" w:eastAsia="宋体" w:cs="宋体"/>
          <w:color w:val="auto"/>
          <w:sz w:val="24"/>
          <w:highlight w:val="none"/>
          <w:u w:val="single"/>
        </w:rPr>
        <w:t xml:space="preserve">                                         </w:t>
      </w:r>
    </w:p>
    <w:p w14:paraId="3891373C">
      <w:pPr>
        <w:spacing w:line="360" w:lineRule="auto"/>
        <w:ind w:left="0" w:firstLine="638"/>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06E0CB1D">
      <w:pPr>
        <w:spacing w:line="360" w:lineRule="auto"/>
        <w:contextualSpacing/>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p>
    <w:tbl>
      <w:tblPr>
        <w:tblStyle w:val="35"/>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7"/>
        <w:gridCol w:w="2294"/>
        <w:gridCol w:w="1690"/>
        <w:gridCol w:w="2792"/>
        <w:gridCol w:w="863"/>
      </w:tblGrid>
      <w:tr w14:paraId="0947E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7" w:hRule="atLeast"/>
          <w:jc w:val="center"/>
        </w:trPr>
        <w:tc>
          <w:tcPr>
            <w:tcW w:w="877" w:type="dxa"/>
            <w:tcBorders>
              <w:top w:val="single" w:color="auto" w:sz="4" w:space="0"/>
              <w:left w:val="single" w:color="auto" w:sz="4" w:space="0"/>
              <w:bottom w:val="single" w:color="auto" w:sz="4" w:space="0"/>
              <w:right w:val="single" w:color="auto" w:sz="4" w:space="0"/>
            </w:tcBorders>
            <w:noWrap w:val="0"/>
            <w:vAlign w:val="center"/>
          </w:tcPr>
          <w:p w14:paraId="42521CA4">
            <w:pPr>
              <w:spacing w:line="36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294" w:type="dxa"/>
            <w:tcBorders>
              <w:top w:val="single" w:color="auto" w:sz="4" w:space="0"/>
              <w:left w:val="single" w:color="auto" w:sz="4" w:space="0"/>
              <w:bottom w:val="single" w:color="auto" w:sz="4" w:space="0"/>
              <w:right w:val="single" w:color="auto" w:sz="4" w:space="0"/>
            </w:tcBorders>
            <w:noWrap w:val="0"/>
            <w:vAlign w:val="center"/>
          </w:tcPr>
          <w:p w14:paraId="55C43AD0">
            <w:pPr>
              <w:spacing w:line="36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标的</w:t>
            </w:r>
            <w:r>
              <w:rPr>
                <w:rFonts w:hint="eastAsia" w:ascii="宋体" w:hAnsi="宋体" w:eastAsia="宋体" w:cs="宋体"/>
                <w:color w:val="auto"/>
                <w:sz w:val="24"/>
                <w:szCs w:val="24"/>
                <w:highlight w:val="none"/>
              </w:rPr>
              <w:t>名称</w:t>
            </w:r>
          </w:p>
        </w:tc>
        <w:tc>
          <w:tcPr>
            <w:tcW w:w="1690" w:type="dxa"/>
            <w:tcBorders>
              <w:top w:val="single" w:color="auto" w:sz="4" w:space="0"/>
              <w:left w:val="single" w:color="auto" w:sz="4" w:space="0"/>
              <w:bottom w:val="single" w:color="auto" w:sz="4" w:space="0"/>
              <w:right w:val="single" w:color="auto" w:sz="4" w:space="0"/>
            </w:tcBorders>
            <w:noWrap w:val="0"/>
            <w:vAlign w:val="center"/>
          </w:tcPr>
          <w:p w14:paraId="13274C19">
            <w:pPr>
              <w:spacing w:line="360" w:lineRule="auto"/>
              <w:contextualSpacing/>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数量及单位</w:t>
            </w:r>
          </w:p>
        </w:tc>
        <w:tc>
          <w:tcPr>
            <w:tcW w:w="2792" w:type="dxa"/>
            <w:tcBorders>
              <w:top w:val="single" w:color="auto" w:sz="4" w:space="0"/>
              <w:left w:val="single" w:color="auto" w:sz="4" w:space="0"/>
              <w:bottom w:val="single" w:color="auto" w:sz="4" w:space="0"/>
              <w:right w:val="single" w:color="auto" w:sz="4" w:space="0"/>
            </w:tcBorders>
            <w:noWrap w:val="0"/>
            <w:vAlign w:val="center"/>
          </w:tcPr>
          <w:p w14:paraId="0C5FBD95">
            <w:pPr>
              <w:spacing w:line="36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报价</w:t>
            </w:r>
            <w:r>
              <w:rPr>
                <w:rFonts w:hint="eastAsia" w:ascii="宋体" w:hAnsi="宋体" w:cs="宋体"/>
                <w:color w:val="auto"/>
                <w:sz w:val="24"/>
                <w:szCs w:val="24"/>
                <w:highlight w:val="none"/>
                <w:lang w:val="en-US" w:eastAsia="zh-CN"/>
              </w:rPr>
              <w:t>（元）</w:t>
            </w:r>
          </w:p>
        </w:tc>
        <w:tc>
          <w:tcPr>
            <w:tcW w:w="863" w:type="dxa"/>
            <w:tcBorders>
              <w:top w:val="single" w:color="auto" w:sz="4" w:space="0"/>
              <w:left w:val="single" w:color="auto" w:sz="4" w:space="0"/>
              <w:bottom w:val="single" w:color="auto" w:sz="4" w:space="0"/>
              <w:right w:val="single" w:color="auto" w:sz="4" w:space="0"/>
            </w:tcBorders>
            <w:noWrap w:val="0"/>
            <w:vAlign w:val="center"/>
          </w:tcPr>
          <w:p w14:paraId="5D079A3F">
            <w:pPr>
              <w:spacing w:line="36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7DAAE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3" w:hRule="atLeast"/>
          <w:jc w:val="center"/>
        </w:trPr>
        <w:tc>
          <w:tcPr>
            <w:tcW w:w="877" w:type="dxa"/>
            <w:tcBorders>
              <w:top w:val="single" w:color="auto" w:sz="4" w:space="0"/>
              <w:left w:val="single" w:color="auto" w:sz="4" w:space="0"/>
              <w:bottom w:val="single" w:color="auto" w:sz="4" w:space="0"/>
              <w:right w:val="single" w:color="auto" w:sz="4" w:space="0"/>
            </w:tcBorders>
            <w:noWrap w:val="0"/>
            <w:vAlign w:val="center"/>
          </w:tcPr>
          <w:p w14:paraId="277C249C">
            <w:pPr>
              <w:spacing w:line="36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294" w:type="dxa"/>
            <w:tcBorders>
              <w:top w:val="single" w:color="auto" w:sz="4" w:space="0"/>
              <w:left w:val="single" w:color="auto" w:sz="4" w:space="0"/>
              <w:bottom w:val="single" w:color="auto" w:sz="4" w:space="0"/>
              <w:right w:val="single" w:color="auto" w:sz="4" w:space="0"/>
            </w:tcBorders>
            <w:noWrap w:val="0"/>
            <w:vAlign w:val="center"/>
          </w:tcPr>
          <w:p w14:paraId="654E491E">
            <w:pPr>
              <w:spacing w:line="360" w:lineRule="auto"/>
              <w:contextualSpacing/>
              <w:jc w:val="center"/>
              <w:rPr>
                <w:rFonts w:hint="eastAsia" w:ascii="宋体" w:hAnsi="宋体" w:eastAsia="宋体" w:cs="宋体"/>
                <w:color w:val="auto"/>
                <w:sz w:val="24"/>
                <w:szCs w:val="24"/>
                <w:highlight w:val="none"/>
                <w:lang w:eastAsia="zh-CN"/>
              </w:rPr>
            </w:pPr>
          </w:p>
        </w:tc>
        <w:tc>
          <w:tcPr>
            <w:tcW w:w="1690" w:type="dxa"/>
            <w:tcBorders>
              <w:top w:val="single" w:color="auto" w:sz="4" w:space="0"/>
              <w:left w:val="single" w:color="auto" w:sz="4" w:space="0"/>
              <w:bottom w:val="single" w:color="auto" w:sz="4" w:space="0"/>
              <w:right w:val="single" w:color="auto" w:sz="4" w:space="0"/>
            </w:tcBorders>
            <w:noWrap w:val="0"/>
            <w:vAlign w:val="center"/>
          </w:tcPr>
          <w:p w14:paraId="5CDAA370">
            <w:pPr>
              <w:spacing w:line="360" w:lineRule="auto"/>
              <w:contextualSpacing/>
              <w:jc w:val="center"/>
              <w:rPr>
                <w:rFonts w:hint="default" w:ascii="宋体" w:hAnsi="宋体" w:eastAsia="宋体" w:cs="宋体"/>
                <w:color w:val="auto"/>
                <w:sz w:val="24"/>
                <w:szCs w:val="24"/>
                <w:highlight w:val="none"/>
                <w:lang w:val="en-US" w:eastAsia="zh-CN"/>
              </w:rPr>
            </w:pPr>
          </w:p>
          <w:p w14:paraId="3546E64E">
            <w:pPr>
              <w:pStyle w:val="44"/>
              <w:rPr>
                <w:rFonts w:hint="default"/>
                <w:color w:val="auto"/>
                <w:highlight w:val="none"/>
                <w:lang w:val="en-US" w:eastAsia="zh-CN"/>
              </w:rPr>
            </w:pPr>
          </w:p>
        </w:tc>
        <w:tc>
          <w:tcPr>
            <w:tcW w:w="2792" w:type="dxa"/>
            <w:tcBorders>
              <w:top w:val="single" w:color="auto" w:sz="4" w:space="0"/>
              <w:left w:val="single" w:color="auto" w:sz="4" w:space="0"/>
              <w:bottom w:val="single" w:color="auto" w:sz="4" w:space="0"/>
              <w:right w:val="single" w:color="auto" w:sz="4" w:space="0"/>
            </w:tcBorders>
            <w:noWrap w:val="0"/>
            <w:vAlign w:val="center"/>
          </w:tcPr>
          <w:p w14:paraId="75F45946">
            <w:pPr>
              <w:spacing w:line="360" w:lineRule="auto"/>
              <w:contextualSpacing/>
              <w:rPr>
                <w:rFonts w:hint="eastAsia" w:ascii="宋体" w:hAnsi="宋体" w:eastAsia="宋体" w:cs="宋体"/>
                <w:color w:val="auto"/>
                <w:sz w:val="24"/>
                <w:szCs w:val="24"/>
                <w:highlight w:val="none"/>
                <w:lang w:val="en-US" w:eastAsia="zh-CN"/>
              </w:rPr>
            </w:pPr>
          </w:p>
        </w:tc>
        <w:tc>
          <w:tcPr>
            <w:tcW w:w="863" w:type="dxa"/>
            <w:tcBorders>
              <w:top w:val="single" w:color="auto" w:sz="4" w:space="0"/>
              <w:left w:val="single" w:color="auto" w:sz="4" w:space="0"/>
              <w:bottom w:val="single" w:color="auto" w:sz="4" w:space="0"/>
              <w:right w:val="single" w:color="auto" w:sz="4" w:space="0"/>
            </w:tcBorders>
            <w:noWrap w:val="0"/>
            <w:vAlign w:val="center"/>
          </w:tcPr>
          <w:p w14:paraId="5BA80501">
            <w:pPr>
              <w:spacing w:line="360" w:lineRule="auto"/>
              <w:contextualSpacing/>
              <w:rPr>
                <w:rFonts w:hint="eastAsia" w:ascii="宋体" w:hAnsi="宋体" w:eastAsia="宋体" w:cs="宋体"/>
                <w:color w:val="auto"/>
                <w:sz w:val="24"/>
                <w:szCs w:val="24"/>
                <w:highlight w:val="none"/>
              </w:rPr>
            </w:pPr>
          </w:p>
        </w:tc>
      </w:tr>
      <w:tr w14:paraId="0F2C2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77" w:type="dxa"/>
            <w:tcBorders>
              <w:top w:val="single" w:color="auto" w:sz="4" w:space="0"/>
              <w:left w:val="single" w:color="auto" w:sz="4" w:space="0"/>
              <w:bottom w:val="single" w:color="auto" w:sz="4" w:space="0"/>
              <w:right w:val="single" w:color="auto" w:sz="4" w:space="0"/>
            </w:tcBorders>
            <w:noWrap w:val="0"/>
            <w:vAlign w:val="center"/>
          </w:tcPr>
          <w:p w14:paraId="66A970C3">
            <w:pPr>
              <w:spacing w:line="36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2294" w:type="dxa"/>
            <w:tcBorders>
              <w:top w:val="single" w:color="auto" w:sz="4" w:space="0"/>
              <w:left w:val="single" w:color="auto" w:sz="4" w:space="0"/>
              <w:bottom w:val="single" w:color="auto" w:sz="4" w:space="0"/>
              <w:right w:val="single" w:color="auto" w:sz="4" w:space="0"/>
            </w:tcBorders>
            <w:noWrap w:val="0"/>
            <w:vAlign w:val="center"/>
          </w:tcPr>
          <w:p w14:paraId="5C221C20">
            <w:pPr>
              <w:spacing w:line="360" w:lineRule="auto"/>
              <w:contextualSpacing/>
              <w:jc w:val="center"/>
              <w:rPr>
                <w:rFonts w:hint="eastAsia" w:ascii="宋体" w:hAnsi="宋体" w:eastAsia="宋体" w:cs="宋体"/>
                <w:color w:val="auto"/>
                <w:sz w:val="24"/>
                <w:szCs w:val="24"/>
                <w:highlight w:val="none"/>
                <w:lang w:eastAsia="zh-CN"/>
              </w:rPr>
            </w:pPr>
          </w:p>
        </w:tc>
        <w:tc>
          <w:tcPr>
            <w:tcW w:w="1690" w:type="dxa"/>
            <w:tcBorders>
              <w:top w:val="single" w:color="auto" w:sz="4" w:space="0"/>
              <w:left w:val="single" w:color="auto" w:sz="4" w:space="0"/>
              <w:bottom w:val="single" w:color="auto" w:sz="4" w:space="0"/>
              <w:right w:val="single" w:color="auto" w:sz="4" w:space="0"/>
            </w:tcBorders>
            <w:noWrap w:val="0"/>
            <w:vAlign w:val="center"/>
          </w:tcPr>
          <w:p w14:paraId="3EC692AD">
            <w:pPr>
              <w:spacing w:line="360" w:lineRule="auto"/>
              <w:contextualSpacing/>
              <w:jc w:val="center"/>
              <w:rPr>
                <w:rFonts w:hint="eastAsia" w:ascii="宋体" w:hAnsi="宋体" w:cs="宋体"/>
                <w:color w:val="auto"/>
                <w:sz w:val="24"/>
                <w:szCs w:val="24"/>
                <w:highlight w:val="none"/>
                <w:lang w:val="en-US" w:eastAsia="zh-CN"/>
              </w:rPr>
            </w:pPr>
          </w:p>
        </w:tc>
        <w:tc>
          <w:tcPr>
            <w:tcW w:w="2792" w:type="dxa"/>
            <w:tcBorders>
              <w:top w:val="single" w:color="auto" w:sz="4" w:space="0"/>
              <w:left w:val="single" w:color="auto" w:sz="4" w:space="0"/>
              <w:bottom w:val="single" w:color="auto" w:sz="4" w:space="0"/>
              <w:right w:val="single" w:color="auto" w:sz="4" w:space="0"/>
            </w:tcBorders>
            <w:noWrap w:val="0"/>
            <w:vAlign w:val="center"/>
          </w:tcPr>
          <w:p w14:paraId="52F70FB8">
            <w:pPr>
              <w:spacing w:line="360" w:lineRule="auto"/>
              <w:contextualSpacing/>
              <w:rPr>
                <w:rFonts w:hint="eastAsia" w:ascii="宋体" w:hAnsi="宋体" w:eastAsia="宋体" w:cs="宋体"/>
                <w:color w:val="auto"/>
                <w:sz w:val="24"/>
                <w:szCs w:val="24"/>
                <w:highlight w:val="none"/>
                <w:lang w:val="en-US" w:eastAsia="zh-CN"/>
              </w:rPr>
            </w:pPr>
          </w:p>
        </w:tc>
        <w:tc>
          <w:tcPr>
            <w:tcW w:w="863" w:type="dxa"/>
            <w:tcBorders>
              <w:top w:val="single" w:color="auto" w:sz="4" w:space="0"/>
              <w:left w:val="single" w:color="auto" w:sz="4" w:space="0"/>
              <w:bottom w:val="single" w:color="auto" w:sz="4" w:space="0"/>
              <w:right w:val="single" w:color="auto" w:sz="4" w:space="0"/>
            </w:tcBorders>
            <w:noWrap w:val="0"/>
            <w:vAlign w:val="center"/>
          </w:tcPr>
          <w:p w14:paraId="3B9DE705">
            <w:pPr>
              <w:spacing w:line="360" w:lineRule="auto"/>
              <w:contextualSpacing/>
              <w:rPr>
                <w:rFonts w:hint="eastAsia" w:ascii="宋体" w:hAnsi="宋体" w:eastAsia="宋体" w:cs="宋体"/>
                <w:color w:val="auto"/>
                <w:sz w:val="24"/>
                <w:szCs w:val="24"/>
                <w:highlight w:val="none"/>
              </w:rPr>
            </w:pPr>
          </w:p>
        </w:tc>
      </w:tr>
      <w:tr w14:paraId="7B095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77" w:type="dxa"/>
            <w:tcBorders>
              <w:top w:val="single" w:color="auto" w:sz="4" w:space="0"/>
              <w:left w:val="single" w:color="auto" w:sz="4" w:space="0"/>
              <w:bottom w:val="single" w:color="auto" w:sz="4" w:space="0"/>
              <w:right w:val="single" w:color="auto" w:sz="4" w:space="0"/>
            </w:tcBorders>
            <w:noWrap w:val="0"/>
            <w:vAlign w:val="center"/>
          </w:tcPr>
          <w:p w14:paraId="198D46D5">
            <w:pPr>
              <w:spacing w:line="360" w:lineRule="auto"/>
              <w:contextualSpacing/>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w:t>
            </w:r>
          </w:p>
        </w:tc>
        <w:tc>
          <w:tcPr>
            <w:tcW w:w="2294" w:type="dxa"/>
            <w:tcBorders>
              <w:top w:val="single" w:color="auto" w:sz="4" w:space="0"/>
              <w:left w:val="single" w:color="auto" w:sz="4" w:space="0"/>
              <w:bottom w:val="single" w:color="auto" w:sz="4" w:space="0"/>
              <w:right w:val="single" w:color="auto" w:sz="4" w:space="0"/>
            </w:tcBorders>
            <w:noWrap w:val="0"/>
            <w:vAlign w:val="center"/>
          </w:tcPr>
          <w:p w14:paraId="46ACF030">
            <w:pPr>
              <w:spacing w:line="360" w:lineRule="auto"/>
              <w:contextualSpacing/>
              <w:jc w:val="center"/>
              <w:rPr>
                <w:rFonts w:hint="eastAsia" w:ascii="宋体" w:hAnsi="宋体" w:eastAsia="宋体" w:cs="宋体"/>
                <w:color w:val="auto"/>
                <w:sz w:val="24"/>
                <w:szCs w:val="24"/>
                <w:highlight w:val="none"/>
                <w:lang w:eastAsia="zh-CN"/>
              </w:rPr>
            </w:pPr>
          </w:p>
        </w:tc>
        <w:tc>
          <w:tcPr>
            <w:tcW w:w="1690" w:type="dxa"/>
            <w:tcBorders>
              <w:top w:val="single" w:color="auto" w:sz="4" w:space="0"/>
              <w:left w:val="single" w:color="auto" w:sz="4" w:space="0"/>
              <w:bottom w:val="single" w:color="auto" w:sz="4" w:space="0"/>
              <w:right w:val="single" w:color="auto" w:sz="4" w:space="0"/>
            </w:tcBorders>
            <w:noWrap w:val="0"/>
            <w:vAlign w:val="center"/>
          </w:tcPr>
          <w:p w14:paraId="4A5B532F">
            <w:pPr>
              <w:spacing w:line="360" w:lineRule="auto"/>
              <w:contextualSpacing/>
              <w:jc w:val="center"/>
              <w:rPr>
                <w:rFonts w:hint="eastAsia" w:ascii="宋体" w:hAnsi="宋体" w:cs="宋体"/>
                <w:color w:val="auto"/>
                <w:sz w:val="24"/>
                <w:szCs w:val="24"/>
                <w:highlight w:val="none"/>
                <w:lang w:val="en-US" w:eastAsia="zh-CN"/>
              </w:rPr>
            </w:pPr>
          </w:p>
        </w:tc>
        <w:tc>
          <w:tcPr>
            <w:tcW w:w="2792" w:type="dxa"/>
            <w:tcBorders>
              <w:top w:val="single" w:color="auto" w:sz="4" w:space="0"/>
              <w:left w:val="single" w:color="auto" w:sz="4" w:space="0"/>
              <w:bottom w:val="single" w:color="auto" w:sz="4" w:space="0"/>
              <w:right w:val="single" w:color="auto" w:sz="4" w:space="0"/>
            </w:tcBorders>
            <w:noWrap w:val="0"/>
            <w:vAlign w:val="center"/>
          </w:tcPr>
          <w:p w14:paraId="791A3B3B">
            <w:pPr>
              <w:spacing w:line="360" w:lineRule="auto"/>
              <w:contextualSpacing/>
              <w:rPr>
                <w:rFonts w:hint="eastAsia" w:ascii="宋体" w:hAnsi="宋体" w:eastAsia="宋体" w:cs="宋体"/>
                <w:color w:val="auto"/>
                <w:sz w:val="24"/>
                <w:szCs w:val="24"/>
                <w:highlight w:val="none"/>
                <w:lang w:val="en-US" w:eastAsia="zh-CN"/>
              </w:rPr>
            </w:pPr>
          </w:p>
        </w:tc>
        <w:tc>
          <w:tcPr>
            <w:tcW w:w="863" w:type="dxa"/>
            <w:tcBorders>
              <w:top w:val="single" w:color="auto" w:sz="4" w:space="0"/>
              <w:left w:val="single" w:color="auto" w:sz="4" w:space="0"/>
              <w:bottom w:val="single" w:color="auto" w:sz="4" w:space="0"/>
              <w:right w:val="single" w:color="auto" w:sz="4" w:space="0"/>
            </w:tcBorders>
            <w:noWrap w:val="0"/>
            <w:vAlign w:val="center"/>
          </w:tcPr>
          <w:p w14:paraId="5CB60CFC">
            <w:pPr>
              <w:spacing w:line="360" w:lineRule="auto"/>
              <w:contextualSpacing/>
              <w:rPr>
                <w:rFonts w:hint="eastAsia" w:ascii="宋体" w:hAnsi="宋体" w:eastAsia="宋体" w:cs="宋体"/>
                <w:color w:val="auto"/>
                <w:sz w:val="24"/>
                <w:szCs w:val="24"/>
                <w:highlight w:val="none"/>
              </w:rPr>
            </w:pPr>
          </w:p>
        </w:tc>
      </w:tr>
      <w:tr w14:paraId="5230E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8" w:hRule="atLeast"/>
          <w:jc w:val="center"/>
        </w:trPr>
        <w:tc>
          <w:tcPr>
            <w:tcW w:w="8516" w:type="dxa"/>
            <w:gridSpan w:val="5"/>
            <w:tcBorders>
              <w:top w:val="single" w:color="auto" w:sz="4" w:space="0"/>
              <w:left w:val="single" w:color="auto" w:sz="4" w:space="0"/>
              <w:bottom w:val="single" w:color="auto" w:sz="4" w:space="0"/>
              <w:right w:val="single" w:color="auto" w:sz="4" w:space="0"/>
            </w:tcBorders>
            <w:noWrap w:val="0"/>
            <w:vAlign w:val="center"/>
          </w:tcPr>
          <w:p w14:paraId="6DA408FB">
            <w:pPr>
              <w:spacing w:line="360" w:lineRule="auto"/>
              <w:contextualSpacing/>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大</w:t>
            </w:r>
            <w:r>
              <w:rPr>
                <w:rFonts w:hint="eastAsia" w:ascii="宋体" w:hAnsi="宋体" w:eastAsia="宋体" w:cs="宋体"/>
                <w:color w:val="auto"/>
                <w:sz w:val="24"/>
                <w:szCs w:val="24"/>
                <w:highlight w:val="none"/>
                <w:lang w:val="en-US" w:eastAsia="zh-CN"/>
              </w:rPr>
              <w:t>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w:t>
            </w:r>
          </w:p>
        </w:tc>
      </w:tr>
    </w:tbl>
    <w:p w14:paraId="3E016BA0">
      <w:pPr>
        <w:spacing w:line="360" w:lineRule="auto"/>
        <w:contextualSpacing/>
        <w:jc w:val="left"/>
        <w:rPr>
          <w:rFonts w:hint="eastAsia" w:ascii="宋体" w:hAnsi="宋体" w:eastAsia="宋体" w:cs="宋体"/>
          <w:color w:val="auto"/>
          <w:sz w:val="24"/>
          <w:highlight w:val="none"/>
        </w:rPr>
      </w:pPr>
    </w:p>
    <w:p w14:paraId="598D31BD">
      <w:pPr>
        <w:spacing w:line="360" w:lineRule="auto"/>
        <w:contextualSpacing/>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注</w:t>
      </w:r>
      <w:r>
        <w:rPr>
          <w:rFonts w:hint="eastAsia" w:ascii="宋体" w:hAnsi="宋体" w:eastAsia="宋体" w:cs="宋体"/>
          <w:color w:val="auto"/>
          <w:sz w:val="24"/>
          <w:highlight w:val="none"/>
          <w:lang w:eastAsia="zh-CN"/>
        </w:rPr>
        <w:t>：</w:t>
      </w:r>
    </w:p>
    <w:p w14:paraId="2CBA9D5F">
      <w:pPr>
        <w:spacing w:line="360" w:lineRule="auto"/>
        <w:ind w:firstLine="4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 供应商的报价表必须加盖供应商公章并由法定代表人或者委托代理人签字，</w:t>
      </w:r>
      <w:r>
        <w:rPr>
          <w:rFonts w:hint="eastAsia" w:ascii="宋体" w:hAnsi="宋体" w:eastAsia="宋体" w:cs="宋体"/>
          <w:b/>
          <w:color w:val="auto"/>
          <w:sz w:val="24"/>
          <w:highlight w:val="none"/>
        </w:rPr>
        <w:t>否则其响应文件按无效处理</w:t>
      </w:r>
      <w:r>
        <w:rPr>
          <w:rFonts w:hint="eastAsia" w:ascii="宋体" w:hAnsi="宋体" w:eastAsia="宋体" w:cs="宋体"/>
          <w:color w:val="auto"/>
          <w:sz w:val="24"/>
          <w:highlight w:val="none"/>
        </w:rPr>
        <w:t>。</w:t>
      </w:r>
    </w:p>
    <w:p w14:paraId="44AB65AD">
      <w:pPr>
        <w:spacing w:line="360" w:lineRule="auto"/>
        <w:ind w:firstLine="480"/>
        <w:contextualSpacing/>
        <w:jc w:val="left"/>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color w:val="auto"/>
          <w:sz w:val="24"/>
          <w:highlight w:val="none"/>
        </w:rPr>
        <w:t xml:space="preserve"> 报价一经涂改，应在涂改处加盖供应商公章或者由法定代表人或者</w:t>
      </w:r>
      <w:r>
        <w:rPr>
          <w:rFonts w:hint="eastAsia" w:ascii="宋体" w:hAnsi="宋体" w:eastAsia="宋体" w:cs="宋体"/>
          <w:color w:val="auto"/>
          <w:sz w:val="24"/>
          <w:highlight w:val="none"/>
        </w:rPr>
        <w:t>授权委托人</w:t>
      </w:r>
      <w:r>
        <w:rPr>
          <w:rFonts w:hint="eastAsia" w:ascii="宋体" w:hAnsi="宋体" w:eastAsia="宋体" w:cs="宋体"/>
          <w:color w:val="auto"/>
          <w:sz w:val="24"/>
          <w:highlight w:val="none"/>
        </w:rPr>
        <w:t>签字</w:t>
      </w:r>
      <w:r>
        <w:rPr>
          <w:rFonts w:hint="eastAsia" w:ascii="宋体" w:hAnsi="宋体" w:eastAsia="宋体" w:cs="宋体"/>
          <w:b/>
          <w:color w:val="auto"/>
          <w:sz w:val="24"/>
          <w:highlight w:val="none"/>
        </w:rPr>
        <w:t>，否则其响应文件按无效处理。</w:t>
      </w:r>
    </w:p>
    <w:p w14:paraId="439BF87B">
      <w:pPr>
        <w:spacing w:line="360" w:lineRule="auto"/>
        <w:ind w:right="-817"/>
        <w:contextualSpacing/>
        <w:rPr>
          <w:rFonts w:hint="eastAsia" w:ascii="宋体" w:hAnsi="宋体" w:eastAsia="宋体" w:cs="宋体"/>
          <w:color w:val="auto"/>
          <w:sz w:val="24"/>
          <w:highlight w:val="none"/>
        </w:rPr>
      </w:pPr>
    </w:p>
    <w:p w14:paraId="3A7581EB">
      <w:pPr>
        <w:spacing w:line="360" w:lineRule="auto"/>
        <w:ind w:right="-817" w:firstLine="264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法定代表人或者委托代理人（签名）：                    </w:t>
      </w:r>
    </w:p>
    <w:p w14:paraId="2790FEEC">
      <w:pPr>
        <w:spacing w:line="360" w:lineRule="auto"/>
        <w:ind w:right="-817" w:firstLine="48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供应商（公章）：      </w:t>
      </w:r>
    </w:p>
    <w:p w14:paraId="6DD2DDB0">
      <w:pPr>
        <w:spacing w:line="360" w:lineRule="auto"/>
        <w:ind w:right="-817" w:firstLine="4080"/>
        <w:contextualSpacing/>
        <w:rPr>
          <w:rFonts w:hint="eastAsia" w:ascii="宋体" w:hAnsi="宋体" w:eastAsia="宋体" w:cs="宋体"/>
          <w:b/>
          <w:color w:val="auto"/>
          <w:sz w:val="24"/>
          <w:highlight w:val="none"/>
        </w:rPr>
      </w:pPr>
      <w:r>
        <w:rPr>
          <w:rFonts w:hint="eastAsia" w:ascii="宋体" w:hAnsi="宋体" w:eastAsia="宋体" w:cs="宋体"/>
          <w:color w:val="auto"/>
          <w:sz w:val="24"/>
          <w:highlight w:val="none"/>
        </w:rPr>
        <w:t>日期：   年   月   日</w:t>
      </w:r>
    </w:p>
    <w:p w14:paraId="101F1D80">
      <w:pPr>
        <w:spacing w:line="360" w:lineRule="auto"/>
        <w:ind w:right="420"/>
        <w:contextualSpacing/>
        <w:jc w:val="left"/>
        <w:rPr>
          <w:rFonts w:hint="eastAsia" w:ascii="宋体" w:hAnsi="宋体" w:eastAsia="宋体" w:cs="宋体"/>
          <w:b/>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rPr>
        <w:t>三、</w:t>
      </w:r>
      <w:r>
        <w:rPr>
          <w:rFonts w:hint="eastAsia" w:ascii="宋体" w:hAnsi="宋体" w:eastAsia="宋体" w:cs="宋体"/>
          <w:b/>
          <w:color w:val="auto"/>
          <w:sz w:val="32"/>
          <w:szCs w:val="32"/>
          <w:highlight w:val="none"/>
        </w:rPr>
        <w:t xml:space="preserve">商务技术文件格式 </w:t>
      </w:r>
    </w:p>
    <w:p w14:paraId="6A921B6F">
      <w:pPr>
        <w:spacing w:before="156" w:after="50" w:line="360" w:lineRule="auto"/>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1.商务技术文件封面格式</w:t>
      </w:r>
    </w:p>
    <w:p w14:paraId="269F3E0D">
      <w:pPr>
        <w:spacing w:before="156" w:after="50"/>
        <w:rPr>
          <w:rFonts w:hint="eastAsia" w:ascii="宋体" w:hAnsi="宋体" w:eastAsia="宋体" w:cs="宋体"/>
          <w:bCs/>
          <w:color w:val="auto"/>
          <w:sz w:val="32"/>
          <w:szCs w:val="20"/>
          <w:highlight w:val="none"/>
        </w:rPr>
      </w:pPr>
      <w:r>
        <w:rPr>
          <w:rFonts w:hint="eastAsia" w:ascii="宋体" w:hAnsi="宋体" w:eastAsia="宋体" w:cs="宋体"/>
          <w:color w:val="auto"/>
          <w:sz w:val="24"/>
          <w:highlight w:val="none"/>
        </w:rPr>
        <w:t xml:space="preserve">                                                    </w:t>
      </w:r>
    </w:p>
    <w:p w14:paraId="083306C1">
      <w:pPr>
        <w:spacing w:before="156" w:after="50"/>
        <w:jc w:val="center"/>
        <w:rPr>
          <w:rFonts w:hint="eastAsia" w:ascii="宋体" w:hAnsi="宋体" w:eastAsia="宋体" w:cs="宋体"/>
          <w:color w:val="auto"/>
          <w:sz w:val="24"/>
          <w:szCs w:val="20"/>
          <w:highlight w:val="none"/>
        </w:rPr>
      </w:pPr>
      <w:r>
        <w:rPr>
          <w:rFonts w:hint="eastAsia" w:ascii="宋体" w:hAnsi="宋体" w:eastAsia="宋体" w:cs="宋体"/>
          <w:color w:val="auto"/>
          <w:sz w:val="44"/>
          <w:szCs w:val="44"/>
          <w:highlight w:val="none"/>
        </w:rPr>
        <w:t>响 应 文 件</w:t>
      </w:r>
    </w:p>
    <w:p w14:paraId="68B94EA3">
      <w:pPr>
        <w:spacing w:before="156" w:after="50"/>
        <w:rPr>
          <w:rFonts w:hint="eastAsia" w:ascii="宋体" w:hAnsi="宋体" w:eastAsia="宋体" w:cs="宋体"/>
          <w:color w:val="auto"/>
          <w:sz w:val="24"/>
          <w:szCs w:val="20"/>
          <w:highlight w:val="none"/>
        </w:rPr>
      </w:pPr>
    </w:p>
    <w:p w14:paraId="2EF532CD">
      <w:pPr>
        <w:spacing w:before="156" w:after="50"/>
        <w:rPr>
          <w:rFonts w:hint="eastAsia" w:ascii="宋体" w:hAnsi="宋体" w:eastAsia="宋体" w:cs="宋体"/>
          <w:color w:val="auto"/>
          <w:sz w:val="24"/>
          <w:szCs w:val="20"/>
          <w:highlight w:val="none"/>
        </w:rPr>
      </w:pPr>
    </w:p>
    <w:p w14:paraId="31DA9459">
      <w:pPr>
        <w:spacing w:before="156" w:after="50"/>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商  务  技  术  文  件</w:t>
      </w:r>
    </w:p>
    <w:p w14:paraId="600D4B56">
      <w:pPr>
        <w:spacing w:before="156" w:after="50"/>
        <w:rPr>
          <w:rFonts w:hint="eastAsia" w:ascii="宋体" w:hAnsi="宋体" w:eastAsia="宋体" w:cs="宋体"/>
          <w:bCs/>
          <w:color w:val="auto"/>
          <w:sz w:val="24"/>
          <w:szCs w:val="20"/>
          <w:highlight w:val="none"/>
        </w:rPr>
      </w:pPr>
    </w:p>
    <w:p w14:paraId="2D05A732">
      <w:pPr>
        <w:spacing w:before="156" w:after="50"/>
        <w:rPr>
          <w:rFonts w:hint="eastAsia" w:ascii="宋体" w:hAnsi="宋体" w:eastAsia="宋体" w:cs="宋体"/>
          <w:bCs/>
          <w:color w:val="auto"/>
          <w:sz w:val="24"/>
          <w:szCs w:val="20"/>
          <w:highlight w:val="none"/>
        </w:rPr>
      </w:pPr>
    </w:p>
    <w:p w14:paraId="353CEF47">
      <w:pPr>
        <w:spacing w:before="156" w:after="50"/>
        <w:rPr>
          <w:rFonts w:hint="eastAsia" w:ascii="宋体" w:hAnsi="宋体" w:eastAsia="宋体" w:cs="宋体"/>
          <w:bCs/>
          <w:color w:val="auto"/>
          <w:sz w:val="24"/>
          <w:szCs w:val="20"/>
          <w:highlight w:val="none"/>
        </w:rPr>
      </w:pPr>
    </w:p>
    <w:p w14:paraId="054F4562">
      <w:pPr>
        <w:spacing w:before="156" w:after="50"/>
        <w:rPr>
          <w:rFonts w:hint="eastAsia" w:ascii="宋体" w:hAnsi="宋体" w:eastAsia="宋体" w:cs="宋体"/>
          <w:bCs/>
          <w:color w:val="auto"/>
          <w:sz w:val="24"/>
          <w:szCs w:val="20"/>
          <w:highlight w:val="none"/>
        </w:rPr>
      </w:pPr>
    </w:p>
    <w:p w14:paraId="01A4D3D9">
      <w:pPr>
        <w:spacing w:before="156" w:after="50"/>
        <w:rPr>
          <w:rFonts w:hint="eastAsia" w:ascii="宋体" w:hAnsi="宋体" w:eastAsia="宋体" w:cs="宋体"/>
          <w:bCs/>
          <w:color w:val="auto"/>
          <w:sz w:val="24"/>
          <w:szCs w:val="20"/>
          <w:highlight w:val="none"/>
        </w:rPr>
      </w:pPr>
    </w:p>
    <w:p w14:paraId="37E7A446">
      <w:pPr>
        <w:spacing w:before="156" w:after="50"/>
        <w:ind w:firstLine="64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项目名称：</w:t>
      </w:r>
    </w:p>
    <w:p w14:paraId="04E3C9CA">
      <w:pPr>
        <w:spacing w:before="156" w:after="50"/>
        <w:ind w:firstLine="720"/>
        <w:rPr>
          <w:rFonts w:hint="eastAsia" w:ascii="宋体" w:hAnsi="宋体" w:eastAsia="宋体" w:cs="宋体"/>
          <w:bCs/>
          <w:color w:val="auto"/>
          <w:sz w:val="32"/>
          <w:szCs w:val="32"/>
          <w:highlight w:val="none"/>
        </w:rPr>
      </w:pPr>
    </w:p>
    <w:p w14:paraId="35F1930C">
      <w:pPr>
        <w:spacing w:before="156" w:after="50"/>
        <w:ind w:firstLine="64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项目编号：</w:t>
      </w:r>
    </w:p>
    <w:p w14:paraId="4DC1E9DA">
      <w:pPr>
        <w:spacing w:before="156" w:after="50"/>
        <w:ind w:firstLine="72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 </w:t>
      </w:r>
    </w:p>
    <w:p w14:paraId="20687CBA">
      <w:pPr>
        <w:spacing w:before="156" w:after="50"/>
        <w:ind w:firstLine="64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所竞分标（如有则填写，无分标时填写“无”或者留空）：</w:t>
      </w:r>
    </w:p>
    <w:p w14:paraId="09A6046A">
      <w:pPr>
        <w:spacing w:before="156" w:after="50"/>
        <w:ind w:firstLine="720"/>
        <w:rPr>
          <w:rFonts w:hint="eastAsia" w:ascii="宋体" w:hAnsi="宋体" w:eastAsia="宋体" w:cs="宋体"/>
          <w:bCs/>
          <w:color w:val="auto"/>
          <w:sz w:val="32"/>
          <w:szCs w:val="32"/>
          <w:highlight w:val="none"/>
        </w:rPr>
      </w:pPr>
    </w:p>
    <w:p w14:paraId="6B8A0EED">
      <w:pPr>
        <w:pStyle w:val="203"/>
        <w:spacing w:before="50" w:after="50"/>
        <w:ind w:firstLine="64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供应商名称：</w:t>
      </w:r>
    </w:p>
    <w:p w14:paraId="3BAA2404">
      <w:pPr>
        <w:pStyle w:val="203"/>
        <w:spacing w:before="50" w:after="50"/>
        <w:ind w:firstLine="640"/>
        <w:rPr>
          <w:rFonts w:hint="eastAsia" w:ascii="宋体" w:hAnsi="宋体" w:eastAsia="宋体" w:cs="宋体"/>
          <w:bCs/>
          <w:color w:val="auto"/>
          <w:sz w:val="32"/>
          <w:szCs w:val="32"/>
          <w:highlight w:val="none"/>
        </w:rPr>
      </w:pPr>
    </w:p>
    <w:p w14:paraId="0C31A7CD">
      <w:pPr>
        <w:pStyle w:val="203"/>
        <w:spacing w:before="50" w:after="50"/>
        <w:ind w:firstLine="720"/>
        <w:rPr>
          <w:rFonts w:hint="eastAsia" w:ascii="宋体" w:hAnsi="宋体" w:eastAsia="宋体" w:cs="宋体"/>
          <w:bCs/>
          <w:color w:val="auto"/>
          <w:sz w:val="32"/>
          <w:szCs w:val="32"/>
          <w:highlight w:val="none"/>
        </w:rPr>
      </w:pPr>
    </w:p>
    <w:p w14:paraId="3E9636D8">
      <w:pPr>
        <w:pStyle w:val="203"/>
        <w:spacing w:before="50" w:after="50"/>
        <w:ind w:firstLine="0"/>
        <w:rPr>
          <w:rFonts w:hint="eastAsia" w:ascii="宋体" w:hAnsi="宋体" w:eastAsia="宋体" w:cs="宋体"/>
          <w:bCs/>
          <w:color w:val="auto"/>
          <w:sz w:val="32"/>
          <w:szCs w:val="32"/>
          <w:highlight w:val="none"/>
        </w:rPr>
      </w:pPr>
    </w:p>
    <w:p w14:paraId="3761D66F">
      <w:pPr>
        <w:pStyle w:val="203"/>
        <w:spacing w:before="50" w:after="50"/>
        <w:ind w:firstLine="1280"/>
        <w:rPr>
          <w:rFonts w:hint="eastAsia" w:ascii="宋体" w:hAnsi="宋体" w:eastAsia="宋体" w:cs="宋体"/>
          <w:bCs/>
          <w:color w:val="auto"/>
          <w:sz w:val="32"/>
          <w:szCs w:val="32"/>
          <w:highlight w:val="none"/>
        </w:rPr>
      </w:pPr>
    </w:p>
    <w:p w14:paraId="6AABF5F5">
      <w:pPr>
        <w:spacing w:before="156" w:after="5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年    月    日</w:t>
      </w:r>
    </w:p>
    <w:p w14:paraId="13290E43">
      <w:pPr>
        <w:spacing w:before="156" w:after="50" w:line="360" w:lineRule="auto"/>
        <w:ind w:right="480" w:firstLine="240"/>
        <w:jc w:val="lef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32"/>
          <w:szCs w:val="32"/>
          <w:highlight w:val="none"/>
        </w:rPr>
        <w:t>2.商务技术文件目录</w:t>
      </w:r>
    </w:p>
    <w:p w14:paraId="3A4D2562">
      <w:pPr>
        <w:spacing w:before="156" w:after="50" w:line="360" w:lineRule="auto"/>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根据磋商文件规定及供应商提供的材料自行编写目录（部分格式后附）。</w:t>
      </w:r>
    </w:p>
    <w:p w14:paraId="5FDD4A98">
      <w:pPr>
        <w:spacing w:line="400" w:lineRule="exact"/>
        <w:rPr>
          <w:rFonts w:hint="eastAsia" w:ascii="宋体" w:hAnsi="宋体" w:eastAsia="宋体" w:cs="宋体"/>
          <w:color w:val="auto"/>
          <w:sz w:val="32"/>
          <w:szCs w:val="32"/>
          <w:highlight w:val="none"/>
        </w:rPr>
      </w:pPr>
    </w:p>
    <w:p w14:paraId="57B8931F">
      <w:pPr>
        <w:spacing w:line="520" w:lineRule="exact"/>
        <w:jc w:val="center"/>
        <w:rPr>
          <w:rFonts w:hint="eastAsia" w:ascii="宋体" w:hAnsi="宋体" w:eastAsia="宋体" w:cs="宋体"/>
          <w:color w:val="auto"/>
          <w:sz w:val="32"/>
          <w:szCs w:val="32"/>
          <w:highlight w:val="none"/>
        </w:rPr>
      </w:pPr>
      <w:r>
        <w:rPr>
          <w:rFonts w:hint="eastAsia" w:ascii="宋体" w:hAnsi="宋体" w:eastAsia="宋体" w:cs="宋体"/>
          <w:color w:val="auto"/>
          <w:sz w:val="44"/>
          <w:szCs w:val="44"/>
          <w:highlight w:val="none"/>
        </w:rPr>
        <w:br w:type="page" w:clear="all"/>
      </w:r>
      <w:r>
        <w:rPr>
          <w:rFonts w:hint="eastAsia" w:ascii="宋体" w:hAnsi="宋体" w:eastAsia="宋体" w:cs="宋体"/>
          <w:color w:val="auto"/>
          <w:sz w:val="44"/>
          <w:szCs w:val="44"/>
          <w:highlight w:val="none"/>
        </w:rPr>
        <w:t>无</w:t>
      </w:r>
      <w:r>
        <w:rPr>
          <w:rFonts w:hint="eastAsia" w:ascii="宋体" w:hAnsi="宋体" w:eastAsia="宋体" w:cs="宋体"/>
          <w:color w:val="auto"/>
          <w:sz w:val="44"/>
          <w:szCs w:val="44"/>
          <w:highlight w:val="none"/>
        </w:rPr>
        <w:t>串通竞标</w:t>
      </w:r>
      <w:r>
        <w:rPr>
          <w:rFonts w:hint="eastAsia" w:ascii="宋体" w:hAnsi="宋体" w:eastAsia="宋体" w:cs="宋体"/>
          <w:color w:val="auto"/>
          <w:sz w:val="44"/>
          <w:szCs w:val="44"/>
          <w:highlight w:val="none"/>
        </w:rPr>
        <w:t>行为的承诺函</w:t>
      </w:r>
    </w:p>
    <w:p w14:paraId="01D84D7A">
      <w:pPr>
        <w:spacing w:line="360" w:lineRule="auto"/>
        <w:ind w:firstLine="640"/>
        <w:contextualSpacing/>
        <w:rPr>
          <w:rFonts w:hint="eastAsia" w:ascii="宋体" w:hAnsi="宋体" w:eastAsia="宋体" w:cs="宋体"/>
          <w:color w:val="auto"/>
          <w:sz w:val="32"/>
          <w:szCs w:val="32"/>
          <w:highlight w:val="none"/>
        </w:rPr>
      </w:pPr>
    </w:p>
    <w:p w14:paraId="3102C6EB">
      <w:pPr>
        <w:spacing w:line="360" w:lineRule="auto"/>
        <w:ind w:firstLine="482"/>
        <w:contextualSpacing/>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一、我方承诺无下列</w:t>
      </w:r>
      <w:r>
        <w:rPr>
          <w:rFonts w:hint="eastAsia" w:ascii="宋体" w:hAnsi="宋体" w:eastAsia="宋体" w:cs="宋体"/>
          <w:b/>
          <w:bCs/>
          <w:color w:val="auto"/>
          <w:sz w:val="24"/>
          <w:highlight w:val="none"/>
        </w:rPr>
        <w:t>相互串通竞标</w:t>
      </w:r>
      <w:r>
        <w:rPr>
          <w:rFonts w:hint="eastAsia" w:ascii="宋体" w:hAnsi="宋体" w:eastAsia="宋体" w:cs="宋体"/>
          <w:b/>
          <w:bCs/>
          <w:color w:val="auto"/>
          <w:sz w:val="24"/>
          <w:highlight w:val="none"/>
        </w:rPr>
        <w:t>的情形：</w:t>
      </w:r>
    </w:p>
    <w:p w14:paraId="67D983DB">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1.不同供应商的响应文件由同一单位或者个人编制； </w:t>
      </w:r>
    </w:p>
    <w:p w14:paraId="0A5180A9">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2.不同供应商委托同一单位或者个人办理竞标事宜；</w:t>
      </w:r>
    </w:p>
    <w:p w14:paraId="040ECED3">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3.不同供应商的响应文件载明的项目管理员为同一个人；</w:t>
      </w:r>
    </w:p>
    <w:p w14:paraId="6CE9B4C5">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4.不</w:t>
      </w:r>
      <w:r>
        <w:rPr>
          <w:rFonts w:hint="eastAsia" w:ascii="宋体" w:hAnsi="宋体" w:eastAsia="宋体" w:cs="宋体"/>
          <w:color w:val="auto"/>
          <w:spacing w:val="-6"/>
          <w:sz w:val="24"/>
          <w:highlight w:val="none"/>
        </w:rPr>
        <w:t>同供应商的响应文件异常一致或者竞标报价呈规律性差异；</w:t>
      </w:r>
    </w:p>
    <w:p w14:paraId="1991A46F">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5.不同供应商的响应文件相互混装；</w:t>
      </w:r>
    </w:p>
    <w:p w14:paraId="728C3FDB">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6.不同供应商的磋商保证金从同一单位或者个人账户转出。</w:t>
      </w:r>
    </w:p>
    <w:p w14:paraId="00D2E2D0">
      <w:pPr>
        <w:spacing w:line="360" w:lineRule="auto"/>
        <w:ind w:firstLine="482"/>
        <w:contextualSpacing/>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二、我方承诺无下列恶意串通的情形：</w:t>
      </w:r>
    </w:p>
    <w:p w14:paraId="4D19C8FE">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1.供应商直接或者间接从采购人或者采购代理机构处获得其他供应商的相关信息并修改其响应文件；</w:t>
      </w:r>
    </w:p>
    <w:p w14:paraId="5E1C42A4">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2.供应商按照采购人或者采购代理机构的授意撤换、修改响应文件；</w:t>
      </w:r>
    </w:p>
    <w:p w14:paraId="7F02DD8C">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3.供</w:t>
      </w:r>
      <w:r>
        <w:rPr>
          <w:rFonts w:hint="eastAsia" w:ascii="宋体" w:hAnsi="宋体" w:eastAsia="宋体" w:cs="宋体"/>
          <w:color w:val="auto"/>
          <w:spacing w:val="-6"/>
          <w:sz w:val="24"/>
          <w:highlight w:val="none"/>
        </w:rPr>
        <w:t>应商之间协商报价、技术方案等响应文件的实质性内容；</w:t>
      </w:r>
    </w:p>
    <w:p w14:paraId="2233E1CB">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4.属于同一集团、协会、商会等组织成员的供应商按照该组织要求协同参加采购活动；</w:t>
      </w:r>
    </w:p>
    <w:p w14:paraId="1A46866C">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5.供应商之间事先约定一致抬高或者压低竞标报价，或者在竞争性磋商项目中事先约定轮流以高价位或者低价位成交，或者事先约定由某一特定供应商成交，然后再参加竞标；</w:t>
      </w:r>
    </w:p>
    <w:p w14:paraId="2450454A">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6.供应商之间商定部分供应商放弃参加采购活动或者放弃成交；</w:t>
      </w:r>
    </w:p>
    <w:p w14:paraId="299FAB6E">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7.供应商与采购人或者采购代理机构之间、供应商相互之间，为</w:t>
      </w:r>
      <w:r>
        <w:rPr>
          <w:rFonts w:hint="eastAsia" w:ascii="宋体" w:hAnsi="宋体" w:eastAsia="宋体" w:cs="宋体"/>
          <w:color w:val="auto"/>
          <w:spacing w:val="-6"/>
          <w:sz w:val="24"/>
          <w:highlight w:val="none"/>
        </w:rPr>
        <w:t>谋求特定供应商成交或者排斥其他供应商的其他串通行为。</w:t>
      </w:r>
    </w:p>
    <w:p w14:paraId="6223D907">
      <w:pPr>
        <w:spacing w:line="360" w:lineRule="auto"/>
        <w:ind w:firstLine="480"/>
        <w:contextualSpacing/>
        <w:rPr>
          <w:rFonts w:hint="eastAsia" w:ascii="宋体" w:hAnsi="宋体" w:eastAsia="宋体" w:cs="宋体"/>
          <w:color w:val="auto"/>
          <w:sz w:val="24"/>
          <w:highlight w:val="none"/>
        </w:rPr>
      </w:pPr>
    </w:p>
    <w:p w14:paraId="42289B76">
      <w:pPr>
        <w:spacing w:line="360" w:lineRule="auto"/>
        <w:ind w:firstLine="482"/>
        <w:contextualSpacing/>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以上情形一经核查属实，我方愿意承担一切后果，并不再寻求任何旨在减轻或者免除法律责任的辩解。</w:t>
      </w:r>
    </w:p>
    <w:p w14:paraId="56E40A10">
      <w:pPr>
        <w:spacing w:line="360" w:lineRule="auto"/>
        <w:contextualSpacing/>
        <w:rPr>
          <w:rFonts w:hint="eastAsia" w:ascii="宋体" w:hAnsi="宋体" w:eastAsia="宋体" w:cs="宋体"/>
          <w:color w:val="auto"/>
          <w:sz w:val="24"/>
          <w:highlight w:val="none"/>
        </w:rPr>
      </w:pPr>
    </w:p>
    <w:p w14:paraId="7536CE26">
      <w:pPr>
        <w:spacing w:line="360" w:lineRule="auto"/>
        <w:ind w:firstLine="36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供应商（公章）：</w:t>
      </w:r>
    </w:p>
    <w:p w14:paraId="728C132C">
      <w:pPr>
        <w:spacing w:line="360" w:lineRule="auto"/>
        <w:ind w:firstLine="480"/>
        <w:contextualSpacing/>
        <w:jc w:val="center"/>
        <w:rPr>
          <w:rFonts w:hint="eastAsia" w:ascii="宋体" w:hAnsi="宋体" w:eastAsia="宋体" w:cs="宋体"/>
          <w:color w:val="auto"/>
          <w:sz w:val="32"/>
          <w:szCs w:val="32"/>
          <w:highlight w:val="none"/>
        </w:rPr>
      </w:pPr>
      <w:r>
        <w:rPr>
          <w:rFonts w:hint="eastAsia" w:ascii="宋体" w:hAnsi="宋体" w:eastAsia="宋体" w:cs="宋体"/>
          <w:color w:val="auto"/>
          <w:sz w:val="24"/>
          <w:highlight w:val="none"/>
        </w:rPr>
        <w:t xml:space="preserve">                               年   月   日</w:t>
      </w:r>
    </w:p>
    <w:p w14:paraId="507FDC4F">
      <w:pPr>
        <w:spacing w:line="520" w:lineRule="exact"/>
        <w:jc w:val="center"/>
        <w:rPr>
          <w:rFonts w:hint="eastAsia" w:ascii="宋体" w:hAnsi="宋体" w:eastAsia="宋体" w:cs="宋体"/>
          <w:color w:val="auto"/>
          <w:sz w:val="32"/>
          <w:szCs w:val="32"/>
          <w:highlight w:val="none"/>
        </w:rPr>
      </w:pPr>
      <w:r>
        <w:rPr>
          <w:rFonts w:hint="eastAsia" w:ascii="宋体" w:hAnsi="宋体" w:eastAsia="宋体" w:cs="宋体"/>
          <w:bCs/>
          <w:color w:val="auto"/>
          <w:sz w:val="44"/>
          <w:szCs w:val="44"/>
          <w:highlight w:val="none"/>
        </w:rPr>
        <w:br w:type="page" w:clear="all"/>
      </w:r>
      <w:r>
        <w:rPr>
          <w:rFonts w:hint="eastAsia" w:ascii="宋体" w:hAnsi="宋体" w:eastAsia="宋体" w:cs="宋体"/>
          <w:bCs/>
          <w:color w:val="auto"/>
          <w:sz w:val="44"/>
          <w:szCs w:val="44"/>
          <w:highlight w:val="none"/>
        </w:rPr>
        <w:t>法定代表人证明书</w:t>
      </w:r>
    </w:p>
    <w:p w14:paraId="163B4AA2">
      <w:pPr>
        <w:spacing w:line="360" w:lineRule="auto"/>
        <w:ind w:left="540"/>
        <w:contextualSpacing/>
        <w:rPr>
          <w:rFonts w:hint="eastAsia" w:ascii="宋体" w:hAnsi="宋体" w:eastAsia="宋体" w:cs="宋体"/>
          <w:color w:val="auto"/>
          <w:sz w:val="32"/>
          <w:szCs w:val="32"/>
          <w:highlight w:val="none"/>
        </w:rPr>
      </w:pPr>
    </w:p>
    <w:p w14:paraId="028331EA">
      <w:pPr>
        <w:spacing w:line="360" w:lineRule="auto"/>
        <w:ind w:left="54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w:t>
      </w:r>
      <w:r>
        <w:rPr>
          <w:rFonts w:hint="eastAsia" w:ascii="宋体" w:hAnsi="宋体" w:eastAsia="宋体" w:cs="宋体"/>
          <w:color w:val="auto"/>
          <w:sz w:val="24"/>
          <w:highlight w:val="none"/>
          <w:u w:val="single"/>
        </w:rPr>
        <w:t xml:space="preserve">                                                        </w:t>
      </w:r>
    </w:p>
    <w:p w14:paraId="35E9460F">
      <w:pPr>
        <w:spacing w:line="360" w:lineRule="auto"/>
        <w:ind w:left="54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 xml:space="preserve">                                                        </w:t>
      </w:r>
    </w:p>
    <w:p w14:paraId="5D304DC4">
      <w:pPr>
        <w:spacing w:line="360" w:lineRule="auto"/>
        <w:ind w:left="54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姓    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性     别：</w:t>
      </w:r>
      <w:r>
        <w:rPr>
          <w:rFonts w:hint="eastAsia" w:ascii="宋体" w:hAnsi="宋体" w:eastAsia="宋体" w:cs="宋体"/>
          <w:color w:val="auto"/>
          <w:sz w:val="24"/>
          <w:highlight w:val="none"/>
          <w:u w:val="single"/>
        </w:rPr>
        <w:t xml:space="preserve">                </w:t>
      </w:r>
    </w:p>
    <w:p w14:paraId="5F80EFEA">
      <w:pPr>
        <w:spacing w:line="360" w:lineRule="auto"/>
        <w:ind w:left="540"/>
        <w:contextualSpacing/>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年    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职     务：</w:t>
      </w:r>
      <w:r>
        <w:rPr>
          <w:rFonts w:hint="eastAsia" w:ascii="宋体" w:hAnsi="宋体" w:eastAsia="宋体" w:cs="宋体"/>
          <w:color w:val="auto"/>
          <w:sz w:val="24"/>
          <w:highlight w:val="none"/>
          <w:u w:val="single"/>
        </w:rPr>
        <w:t xml:space="preserve">                </w:t>
      </w:r>
    </w:p>
    <w:p w14:paraId="03600D09">
      <w:pPr>
        <w:spacing w:line="360" w:lineRule="auto"/>
        <w:ind w:left="54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u w:val="single"/>
        </w:rPr>
        <w:t xml:space="preserve">                                        </w:t>
      </w:r>
    </w:p>
    <w:p w14:paraId="3DD0B6E8">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（供应商名称）</w:t>
      </w:r>
      <w:r>
        <w:rPr>
          <w:rFonts w:hint="eastAsia" w:ascii="宋体" w:hAnsi="宋体" w:eastAsia="宋体" w:cs="宋体"/>
          <w:color w:val="auto"/>
          <w:sz w:val="24"/>
          <w:highlight w:val="none"/>
        </w:rPr>
        <w:t>的法定代表人。</w:t>
      </w:r>
    </w:p>
    <w:p w14:paraId="340A8FCC">
      <w:pPr>
        <w:spacing w:line="360" w:lineRule="auto"/>
        <w:ind w:left="54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14:paraId="174BCB5A">
      <w:pPr>
        <w:spacing w:line="360" w:lineRule="auto"/>
        <w:ind w:left="540"/>
        <w:contextualSpacing/>
        <w:rPr>
          <w:rFonts w:hint="eastAsia" w:ascii="宋体" w:hAnsi="宋体" w:eastAsia="宋体" w:cs="宋体"/>
          <w:color w:val="auto"/>
          <w:sz w:val="24"/>
          <w:highlight w:val="none"/>
        </w:rPr>
      </w:pPr>
    </w:p>
    <w:p w14:paraId="020BC5D3">
      <w:pPr>
        <w:spacing w:line="360" w:lineRule="auto"/>
        <w:ind w:left="540"/>
        <w:contextualSpacing/>
        <w:rPr>
          <w:rFonts w:hint="eastAsia" w:ascii="宋体" w:hAnsi="宋体" w:eastAsia="宋体" w:cs="宋体"/>
          <w:color w:val="auto"/>
          <w:sz w:val="24"/>
          <w:highlight w:val="none"/>
        </w:rPr>
      </w:pPr>
    </w:p>
    <w:p w14:paraId="5A60A0B8">
      <w:pPr>
        <w:spacing w:line="360" w:lineRule="auto"/>
        <w:ind w:left="540"/>
        <w:contextualSpacing/>
        <w:rPr>
          <w:rFonts w:hint="eastAsia" w:ascii="宋体" w:hAnsi="宋体" w:eastAsia="宋体" w:cs="宋体"/>
          <w:color w:val="auto"/>
          <w:sz w:val="24"/>
          <w:highlight w:val="none"/>
        </w:rPr>
      </w:pPr>
    </w:p>
    <w:p w14:paraId="36C9CBD6">
      <w:pPr>
        <w:spacing w:line="360" w:lineRule="auto"/>
        <w:ind w:left="54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附件：法定代表人有效身份证正反面复印件</w:t>
      </w:r>
    </w:p>
    <w:p w14:paraId="2AB9FFF2">
      <w:pPr>
        <w:spacing w:line="360" w:lineRule="auto"/>
        <w:ind w:left="540"/>
        <w:contextualSpacing/>
        <w:rPr>
          <w:rFonts w:hint="eastAsia" w:ascii="宋体" w:hAnsi="宋体" w:eastAsia="宋体" w:cs="宋体"/>
          <w:color w:val="auto"/>
          <w:sz w:val="24"/>
          <w:highlight w:val="none"/>
        </w:rPr>
      </w:pPr>
    </w:p>
    <w:p w14:paraId="2152F429">
      <w:pPr>
        <w:spacing w:line="360" w:lineRule="auto"/>
        <w:ind w:left="540"/>
        <w:contextualSpacing/>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供应商（公章）：</w:t>
      </w:r>
      <w:r>
        <w:rPr>
          <w:rFonts w:hint="eastAsia" w:ascii="宋体" w:hAnsi="宋体" w:eastAsia="宋体" w:cs="宋体"/>
          <w:color w:val="auto"/>
          <w:sz w:val="24"/>
          <w:highlight w:val="none"/>
          <w:u w:val="single"/>
        </w:rPr>
        <w:t xml:space="preserve">               </w:t>
      </w:r>
    </w:p>
    <w:p w14:paraId="33E9F926">
      <w:pPr>
        <w:spacing w:line="360" w:lineRule="auto"/>
        <w:ind w:firstLine="40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4F8F3F3B">
      <w:pPr>
        <w:spacing w:line="360" w:lineRule="auto"/>
        <w:contextualSpacing/>
        <w:jc w:val="center"/>
        <w:rPr>
          <w:rFonts w:hint="eastAsia" w:ascii="宋体" w:hAnsi="宋体" w:eastAsia="宋体" w:cs="宋体"/>
          <w:b/>
          <w:color w:val="auto"/>
          <w:sz w:val="24"/>
          <w:highlight w:val="none"/>
        </w:rPr>
      </w:pPr>
    </w:p>
    <w:p w14:paraId="3391B4DC">
      <w:pPr>
        <w:spacing w:line="360" w:lineRule="auto"/>
        <w:contextualSpacing/>
        <w:jc w:val="left"/>
        <w:rPr>
          <w:rFonts w:hint="eastAsia" w:ascii="宋体" w:hAnsi="宋体" w:eastAsia="宋体" w:cs="宋体"/>
          <w:color w:val="auto"/>
          <w:sz w:val="24"/>
          <w:highlight w:val="none"/>
        </w:rPr>
      </w:pPr>
    </w:p>
    <w:p w14:paraId="23E693F4">
      <w:pPr>
        <w:spacing w:line="360" w:lineRule="auto"/>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注：自然人</w:t>
      </w:r>
      <w:r>
        <w:rPr>
          <w:rFonts w:hint="eastAsia" w:ascii="宋体" w:hAnsi="宋体" w:eastAsia="宋体" w:cs="宋体"/>
          <w:color w:val="auto"/>
          <w:sz w:val="24"/>
          <w:highlight w:val="none"/>
        </w:rPr>
        <w:t>竞标</w:t>
      </w:r>
      <w:r>
        <w:rPr>
          <w:rFonts w:hint="eastAsia" w:ascii="宋体" w:hAnsi="宋体" w:eastAsia="宋体" w:cs="宋体"/>
          <w:color w:val="auto"/>
          <w:sz w:val="24"/>
          <w:highlight w:val="none"/>
        </w:rPr>
        <w:t>的无需提供，联合体竞标的只需牵头人出具。</w:t>
      </w:r>
    </w:p>
    <w:p w14:paraId="26F9051F">
      <w:pPr>
        <w:spacing w:line="300" w:lineRule="auto"/>
        <w:jc w:val="left"/>
        <w:rPr>
          <w:rFonts w:hint="eastAsia" w:ascii="宋体" w:hAnsi="宋体" w:eastAsia="宋体" w:cs="宋体"/>
          <w:b/>
          <w:color w:val="auto"/>
          <w:szCs w:val="21"/>
          <w:highlight w:val="none"/>
        </w:rPr>
      </w:pPr>
    </w:p>
    <w:p w14:paraId="62005710">
      <w:pPr>
        <w:spacing w:line="500" w:lineRule="exact"/>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rPr>
          <w:rFonts w:hint="eastAsia" w:ascii="宋体" w:hAnsi="宋体" w:eastAsia="宋体" w:cs="宋体"/>
          <w:color w:val="auto"/>
          <w:sz w:val="44"/>
          <w:szCs w:val="44"/>
          <w:highlight w:val="none"/>
        </w:rPr>
        <w:t xml:space="preserve"> </w:t>
      </w:r>
    </w:p>
    <w:p w14:paraId="0CFCE785">
      <w:pPr>
        <w:spacing w:line="520" w:lineRule="exact"/>
        <w:jc w:val="center"/>
        <w:rPr>
          <w:rFonts w:hint="eastAsia" w:ascii="宋体" w:hAnsi="宋体" w:eastAsia="宋体" w:cs="宋体"/>
          <w:color w:val="auto"/>
          <w:sz w:val="44"/>
          <w:szCs w:val="44"/>
          <w:highlight w:val="none"/>
        </w:rPr>
      </w:pPr>
      <w:bookmarkStart w:id="81" w:name="_Hlk65853643"/>
      <w:r>
        <w:rPr>
          <w:rFonts w:hint="eastAsia" w:ascii="宋体" w:hAnsi="宋体" w:eastAsia="宋体" w:cs="宋体"/>
          <w:color w:val="auto"/>
          <w:sz w:val="44"/>
          <w:szCs w:val="44"/>
          <w:highlight w:val="none"/>
        </w:rPr>
        <w:t>授权委托书</w:t>
      </w:r>
    </w:p>
    <w:p w14:paraId="45936794">
      <w:pPr>
        <w:spacing w:line="520" w:lineRule="exact"/>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w:t>
      </w:r>
      <w:r>
        <w:rPr>
          <w:rFonts w:hint="eastAsia" w:ascii="宋体" w:hAnsi="宋体" w:eastAsia="宋体" w:cs="宋体"/>
          <w:color w:val="auto"/>
          <w:sz w:val="32"/>
          <w:szCs w:val="32"/>
          <w:highlight w:val="none"/>
        </w:rPr>
        <w:t>非联合体竞标格式</w:t>
      </w:r>
      <w:r>
        <w:rPr>
          <w:rFonts w:hint="eastAsia" w:ascii="宋体" w:hAnsi="宋体" w:eastAsia="宋体" w:cs="宋体"/>
          <w:color w:val="auto"/>
          <w:sz w:val="32"/>
          <w:szCs w:val="32"/>
          <w:highlight w:val="none"/>
        </w:rPr>
        <w:t>）</w:t>
      </w:r>
    </w:p>
    <w:p w14:paraId="610C6204">
      <w:pPr>
        <w:spacing w:line="520" w:lineRule="exact"/>
        <w:jc w:val="center"/>
        <w:rPr>
          <w:rFonts w:hint="eastAsia" w:ascii="宋体" w:hAnsi="宋体" w:eastAsia="宋体" w:cs="宋体"/>
          <w:color w:val="auto"/>
          <w:sz w:val="44"/>
          <w:szCs w:val="44"/>
          <w:highlight w:val="none"/>
        </w:rPr>
      </w:pPr>
      <w:r>
        <w:rPr>
          <w:rFonts w:hint="eastAsia" w:ascii="宋体" w:hAnsi="宋体" w:eastAsia="宋体" w:cs="宋体"/>
          <w:color w:val="auto"/>
          <w:sz w:val="32"/>
          <w:szCs w:val="32"/>
          <w:highlight w:val="none"/>
        </w:rPr>
        <w:t>（如有委托时）</w:t>
      </w:r>
    </w:p>
    <w:p w14:paraId="74067F63">
      <w:pPr>
        <w:spacing w:line="520" w:lineRule="exact"/>
        <w:rPr>
          <w:rFonts w:hint="eastAsia" w:ascii="宋体" w:hAnsi="宋体" w:eastAsia="宋体" w:cs="宋体"/>
          <w:color w:val="auto"/>
          <w:sz w:val="32"/>
          <w:szCs w:val="32"/>
          <w:highlight w:val="none"/>
        </w:rPr>
      </w:pPr>
    </w:p>
    <w:p w14:paraId="10F8AE63">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（采购人名称）</w:t>
      </w:r>
      <w:r>
        <w:rPr>
          <w:rFonts w:hint="eastAsia" w:ascii="宋体" w:hAnsi="宋体" w:eastAsia="宋体" w:cs="宋体"/>
          <w:color w:val="auto"/>
          <w:sz w:val="24"/>
          <w:highlight w:val="none"/>
        </w:rPr>
        <w:t>：</w:t>
      </w:r>
    </w:p>
    <w:p w14:paraId="51E5A8A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 xml:space="preserve">  （供应商名称）  </w:t>
      </w:r>
      <w:r>
        <w:rPr>
          <w:rFonts w:hint="eastAsia" w:ascii="宋体" w:hAnsi="宋体" w:eastAsia="宋体" w:cs="宋体"/>
          <w:color w:val="auto"/>
          <w:sz w:val="24"/>
          <w:highlight w:val="none"/>
        </w:rPr>
        <w:t>的（</w:t>
      </w:r>
      <w:r>
        <w:rPr>
          <w:rFonts w:ascii="Wingdings 2" w:hAnsi="Wingdings 2" w:eastAsia="Wingdings 2" w:cs="Wingdings 2"/>
          <w:color w:val="auto"/>
          <w:sz w:val="24"/>
          <w:highlight w:val="none"/>
          <w:u w:val="single"/>
        </w:rPr>
        <w:sym w:font="Wingdings 2" w:char="00A3"/>
      </w:r>
      <w:r>
        <w:rPr>
          <w:rFonts w:hint="eastAsia" w:ascii="宋体" w:hAnsi="宋体" w:eastAsia="宋体" w:cs="宋体"/>
          <w:color w:val="auto"/>
          <w:sz w:val="24"/>
          <w:highlight w:val="none"/>
          <w:u w:val="single"/>
        </w:rPr>
        <w:t>法定代表人</w:t>
      </w:r>
      <w:r>
        <w:rPr>
          <w:rFonts w:hint="eastAsia" w:ascii="宋体" w:hAnsi="宋体" w:eastAsia="宋体" w:cs="宋体"/>
          <w:color w:val="auto"/>
          <w:sz w:val="24"/>
          <w:highlight w:val="none"/>
          <w:u w:val="single"/>
        </w:rPr>
        <w:t>/□负责人/□自然人本人</w:t>
      </w:r>
      <w:r>
        <w:rPr>
          <w:rFonts w:hint="eastAsia" w:ascii="宋体" w:hAnsi="宋体" w:eastAsia="宋体" w:cs="宋体"/>
          <w:color w:val="auto"/>
          <w:sz w:val="24"/>
          <w:highlight w:val="none"/>
        </w:rPr>
        <w:t>），现授权</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以我方的名义参加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项目的</w:t>
      </w:r>
      <w:r>
        <w:rPr>
          <w:rFonts w:hint="eastAsia" w:ascii="宋体" w:hAnsi="宋体" w:eastAsia="宋体" w:cs="宋体"/>
          <w:color w:val="auto"/>
          <w:sz w:val="24"/>
          <w:highlight w:val="none"/>
        </w:rPr>
        <w:t>竞标活动</w:t>
      </w:r>
      <w:r>
        <w:rPr>
          <w:rFonts w:hint="eastAsia" w:ascii="宋体" w:hAnsi="宋体" w:eastAsia="宋体" w:cs="宋体"/>
          <w:color w:val="auto"/>
          <w:sz w:val="24"/>
          <w:highlight w:val="none"/>
        </w:rPr>
        <w:t>，并代表我方全权办理针对上述项目的所有采购程序和环节的具体事务和签署相关文件。</w:t>
      </w:r>
    </w:p>
    <w:p w14:paraId="3F34FDBB">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我方对委托代理人的签字事项负全部责任。</w:t>
      </w:r>
    </w:p>
    <w:p w14:paraId="4A6309E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本授权书自签署之日起生效，在撤销授权的书面通知以前，本授权书一直有效。委托代理人在授权书有效期内签署的所有文件不因授权的撤销而失效。</w:t>
      </w:r>
    </w:p>
    <w:p w14:paraId="5752A73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委托代理人无转委托权，特此委托。</w:t>
      </w:r>
    </w:p>
    <w:p w14:paraId="7F633F2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附：法定代表人身份证明书及委托代理人有效身份证正反面复印件</w:t>
      </w:r>
    </w:p>
    <w:p w14:paraId="2356A70B">
      <w:pPr>
        <w:spacing w:line="360" w:lineRule="auto"/>
        <w:rPr>
          <w:rFonts w:hint="eastAsia" w:ascii="宋体" w:hAnsi="宋体" w:eastAsia="宋体" w:cs="宋体"/>
          <w:color w:val="auto"/>
          <w:sz w:val="24"/>
          <w:highlight w:val="none"/>
        </w:rPr>
      </w:pPr>
    </w:p>
    <w:p w14:paraId="0B893036">
      <w:pPr>
        <w:spacing w:line="360" w:lineRule="auto"/>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委托代理人（签名）：            法定代表人（签字或者盖章）：                    </w:t>
      </w:r>
    </w:p>
    <w:p w14:paraId="60BC4F28">
      <w:pPr>
        <w:spacing w:line="360" w:lineRule="auto"/>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委托代理人身份证号码：                              </w:t>
      </w:r>
    </w:p>
    <w:p w14:paraId="5BB7C79F">
      <w:pPr>
        <w:spacing w:line="360" w:lineRule="auto"/>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16F94057">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供应商（公章）：                      </w:t>
      </w:r>
    </w:p>
    <w:p w14:paraId="0C23AB6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p w14:paraId="4F0D36AB">
      <w:pPr>
        <w:spacing w:line="360" w:lineRule="auto"/>
        <w:rPr>
          <w:rFonts w:hint="eastAsia" w:ascii="宋体" w:hAnsi="宋体" w:eastAsia="宋体" w:cs="宋体"/>
          <w:color w:val="auto"/>
          <w:sz w:val="24"/>
          <w:highlight w:val="none"/>
        </w:rPr>
      </w:pPr>
    </w:p>
    <w:p w14:paraId="108B5E12">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注：1. 法定代表人必须在授权委托书上签字或者盖章，委托代理人必须在授权委托书上签名，</w:t>
      </w:r>
      <w:r>
        <w:rPr>
          <w:rFonts w:hint="eastAsia" w:ascii="宋体" w:hAnsi="宋体" w:eastAsia="宋体" w:cs="宋体"/>
          <w:b/>
          <w:color w:val="auto"/>
          <w:sz w:val="24"/>
          <w:highlight w:val="none"/>
        </w:rPr>
        <w:t>否则其响应文件按无效响应处理。</w:t>
      </w:r>
    </w:p>
    <w:p w14:paraId="5F1AD65E">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bookmarkStart w:id="82" w:name="_Hlk65853109"/>
      <w:bookmarkStart w:id="83" w:name="_Hlk65853542"/>
      <w:r>
        <w:rPr>
          <w:rFonts w:hint="eastAsia" w:ascii="宋体" w:hAnsi="宋体" w:eastAsia="宋体" w:cs="宋体"/>
          <w:color w:val="auto"/>
          <w:sz w:val="24"/>
          <w:highlight w:val="none"/>
        </w:rPr>
        <w:t>法人、其他组织</w:t>
      </w:r>
      <w:r>
        <w:rPr>
          <w:rFonts w:hint="eastAsia" w:ascii="宋体" w:hAnsi="宋体" w:eastAsia="宋体" w:cs="宋体"/>
          <w:color w:val="auto"/>
          <w:sz w:val="24"/>
          <w:highlight w:val="none"/>
        </w:rPr>
        <w:t>竞标时</w:t>
      </w:r>
      <w:r>
        <w:rPr>
          <w:rFonts w:hint="eastAsia" w:ascii="宋体" w:hAnsi="宋体" w:eastAsia="宋体" w:cs="宋体"/>
          <w:color w:val="auto"/>
          <w:sz w:val="24"/>
          <w:highlight w:val="none"/>
        </w:rPr>
        <w:t>“我方”是指“我单位”，自然人竞标时“我方”是指“本人”。</w:t>
      </w:r>
      <w:bookmarkEnd w:id="81"/>
      <w:bookmarkEnd w:id="82"/>
    </w:p>
    <w:p w14:paraId="772ECAF0">
      <w:pPr>
        <w:spacing w:line="360" w:lineRule="auto"/>
        <w:ind w:firstLine="420"/>
        <w:jc w:val="left"/>
        <w:rPr>
          <w:rFonts w:hint="eastAsia" w:ascii="宋体" w:hAnsi="宋体" w:eastAsia="宋体" w:cs="宋体"/>
          <w:color w:val="auto"/>
          <w:szCs w:val="21"/>
          <w:highlight w:val="none"/>
        </w:rPr>
      </w:pPr>
    </w:p>
    <w:bookmarkEnd w:id="83"/>
    <w:p w14:paraId="2F42A2C2">
      <w:pPr>
        <w:spacing w:line="360" w:lineRule="auto"/>
        <w:jc w:val="left"/>
        <w:rPr>
          <w:rFonts w:hint="eastAsia" w:ascii="宋体" w:hAnsi="宋体" w:eastAsia="宋体" w:cs="宋体"/>
          <w:color w:val="auto"/>
          <w:spacing w:val="-11"/>
          <w:sz w:val="24"/>
          <w:highlight w:val="none"/>
        </w:rPr>
      </w:pPr>
    </w:p>
    <w:p w14:paraId="46B01A2A">
      <w:pPr>
        <w:spacing w:line="360" w:lineRule="auto"/>
        <w:jc w:val="center"/>
        <w:rPr>
          <w:rFonts w:hint="eastAsia" w:ascii="宋体" w:hAnsi="宋体" w:eastAsia="宋体" w:cs="宋体"/>
          <w:bCs/>
          <w:color w:val="auto"/>
          <w:sz w:val="44"/>
          <w:szCs w:val="44"/>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bCs/>
          <w:color w:val="auto"/>
          <w:sz w:val="44"/>
          <w:szCs w:val="44"/>
          <w:highlight w:val="none"/>
        </w:rPr>
        <w:t>商务</w:t>
      </w:r>
      <w:r>
        <w:rPr>
          <w:rFonts w:hint="eastAsia" w:ascii="宋体" w:hAnsi="宋体" w:cs="宋体"/>
          <w:bCs/>
          <w:color w:val="auto"/>
          <w:sz w:val="44"/>
          <w:szCs w:val="44"/>
          <w:highlight w:val="none"/>
          <w:lang w:val="en-US" w:eastAsia="zh-CN"/>
        </w:rPr>
        <w:t>要求</w:t>
      </w:r>
      <w:r>
        <w:rPr>
          <w:rFonts w:hint="eastAsia" w:ascii="宋体" w:hAnsi="宋体" w:eastAsia="宋体" w:cs="宋体"/>
          <w:bCs/>
          <w:color w:val="auto"/>
          <w:sz w:val="44"/>
          <w:szCs w:val="44"/>
          <w:highlight w:val="none"/>
        </w:rPr>
        <w:t>偏离表格式</w:t>
      </w:r>
    </w:p>
    <w:tbl>
      <w:tblPr>
        <w:tblStyle w:val="35"/>
        <w:tblW w:w="0" w:type="auto"/>
        <w:tblInd w:w="1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1"/>
        <w:gridCol w:w="3734"/>
        <w:gridCol w:w="2914"/>
        <w:gridCol w:w="830"/>
      </w:tblGrid>
      <w:tr w14:paraId="7377A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9" w:type="dxa"/>
            <w:tcBorders>
              <w:top w:val="single" w:color="auto" w:sz="4" w:space="0"/>
              <w:left w:val="single" w:color="auto" w:sz="4" w:space="0"/>
              <w:bottom w:val="single" w:color="auto" w:sz="4" w:space="0"/>
              <w:right w:val="single" w:color="auto" w:sz="4" w:space="0"/>
            </w:tcBorders>
            <w:noWrap w:val="0"/>
            <w:vAlign w:val="center"/>
          </w:tcPr>
          <w:p w14:paraId="28907C40">
            <w:pPr>
              <w:pStyle w:val="215"/>
              <w:spacing w:after="0" w:line="360" w:lineRule="auto"/>
              <w:contextualSpacing/>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w:t>
            </w:r>
          </w:p>
        </w:tc>
        <w:tc>
          <w:tcPr>
            <w:tcW w:w="3808" w:type="dxa"/>
            <w:tcBorders>
              <w:top w:val="single" w:color="auto" w:sz="4" w:space="0"/>
              <w:left w:val="single" w:color="auto" w:sz="4" w:space="0"/>
              <w:bottom w:val="single" w:color="auto" w:sz="4" w:space="0"/>
              <w:right w:val="single" w:color="auto" w:sz="4" w:space="0"/>
            </w:tcBorders>
            <w:noWrap w:val="0"/>
            <w:vAlign w:val="center"/>
          </w:tcPr>
          <w:p w14:paraId="3900B816">
            <w:pPr>
              <w:pStyle w:val="215"/>
              <w:spacing w:after="0" w:line="360" w:lineRule="auto"/>
              <w:contextualSpacing/>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磋商文件商务</w:t>
            </w:r>
            <w:r>
              <w:rPr>
                <w:rFonts w:hint="eastAsia" w:ascii="宋体" w:hAnsi="宋体" w:cs="宋体"/>
                <w:b/>
                <w:bCs/>
                <w:color w:val="auto"/>
                <w:sz w:val="24"/>
                <w:szCs w:val="24"/>
                <w:highlight w:val="none"/>
                <w:lang w:val="en-US" w:eastAsia="zh-CN"/>
              </w:rPr>
              <w:t>条款</w:t>
            </w:r>
            <w:r>
              <w:rPr>
                <w:rFonts w:hint="eastAsia" w:ascii="宋体" w:hAnsi="宋体" w:eastAsia="宋体" w:cs="宋体"/>
                <w:b/>
                <w:bCs/>
                <w:color w:val="auto"/>
                <w:sz w:val="24"/>
                <w:szCs w:val="24"/>
                <w:highlight w:val="none"/>
              </w:rPr>
              <w:t>要求</w:t>
            </w:r>
          </w:p>
        </w:tc>
        <w:tc>
          <w:tcPr>
            <w:tcW w:w="2970" w:type="dxa"/>
            <w:tcBorders>
              <w:top w:val="single" w:color="auto" w:sz="4" w:space="0"/>
              <w:left w:val="single" w:color="auto" w:sz="4" w:space="0"/>
              <w:bottom w:val="single" w:color="auto" w:sz="4" w:space="0"/>
              <w:right w:val="single" w:color="auto" w:sz="4" w:space="0"/>
            </w:tcBorders>
            <w:noWrap w:val="0"/>
            <w:vAlign w:val="center"/>
          </w:tcPr>
          <w:p w14:paraId="64D27BFA">
            <w:pPr>
              <w:pStyle w:val="215"/>
              <w:spacing w:after="0" w:line="360" w:lineRule="auto"/>
              <w:contextualSpacing/>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供应商的响应</w:t>
            </w:r>
          </w:p>
        </w:tc>
        <w:tc>
          <w:tcPr>
            <w:tcW w:w="838" w:type="dxa"/>
            <w:tcBorders>
              <w:top w:val="single" w:color="auto" w:sz="4" w:space="0"/>
              <w:left w:val="single" w:color="auto" w:sz="4" w:space="0"/>
              <w:bottom w:val="single" w:color="auto" w:sz="4" w:space="0"/>
              <w:right w:val="single" w:color="auto" w:sz="4" w:space="0"/>
            </w:tcBorders>
            <w:noWrap w:val="0"/>
            <w:vAlign w:val="top"/>
          </w:tcPr>
          <w:p w14:paraId="119088BE">
            <w:pPr>
              <w:pStyle w:val="215"/>
              <w:spacing w:after="0" w:line="360" w:lineRule="auto"/>
              <w:contextualSpacing/>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偏离说明</w:t>
            </w:r>
          </w:p>
        </w:tc>
      </w:tr>
      <w:tr w14:paraId="613B6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9" w:type="dxa"/>
            <w:tcBorders>
              <w:top w:val="single" w:color="auto" w:sz="4" w:space="0"/>
              <w:left w:val="single" w:color="auto" w:sz="4" w:space="0"/>
              <w:bottom w:val="single" w:color="auto" w:sz="4" w:space="0"/>
              <w:right w:val="single" w:color="auto" w:sz="4" w:space="0"/>
            </w:tcBorders>
            <w:noWrap w:val="0"/>
            <w:vAlign w:val="center"/>
          </w:tcPr>
          <w:p w14:paraId="10CEC8F0">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合同签订期</w:t>
            </w:r>
          </w:p>
        </w:tc>
        <w:tc>
          <w:tcPr>
            <w:tcW w:w="3808" w:type="dxa"/>
            <w:tcBorders>
              <w:top w:val="single" w:color="auto" w:sz="4" w:space="0"/>
              <w:left w:val="single" w:color="auto" w:sz="4" w:space="0"/>
              <w:bottom w:val="single" w:color="auto" w:sz="4" w:space="0"/>
              <w:right w:val="single" w:color="auto" w:sz="4" w:space="0"/>
            </w:tcBorders>
            <w:noWrap w:val="0"/>
            <w:vAlign w:val="center"/>
          </w:tcPr>
          <w:p w14:paraId="11F3767A">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hi-IN"/>
              </w:rPr>
              <w:t xml:space="preserve"> </w:t>
            </w:r>
            <w:r>
              <w:rPr>
                <w:rFonts w:hint="eastAsia" w:ascii="宋体" w:hAnsi="宋体" w:eastAsia="宋体" w:cs="宋体"/>
                <w:color w:val="auto"/>
                <w:sz w:val="21"/>
                <w:szCs w:val="21"/>
                <w:highlight w:val="none"/>
                <w:lang w:bidi="hi-IN"/>
              </w:rPr>
              <w:t xml:space="preserve"> </w:t>
            </w:r>
          </w:p>
        </w:tc>
        <w:tc>
          <w:tcPr>
            <w:tcW w:w="2970" w:type="dxa"/>
            <w:tcBorders>
              <w:top w:val="single" w:color="auto" w:sz="4" w:space="0"/>
              <w:left w:val="single" w:color="auto" w:sz="4" w:space="0"/>
              <w:bottom w:val="single" w:color="auto" w:sz="4" w:space="0"/>
              <w:right w:val="single" w:color="auto" w:sz="4" w:space="0"/>
            </w:tcBorders>
            <w:noWrap w:val="0"/>
            <w:vAlign w:val="top"/>
          </w:tcPr>
          <w:p w14:paraId="5BAA320F">
            <w:pPr>
              <w:pStyle w:val="215"/>
              <w:spacing w:after="0" w:line="360" w:lineRule="auto"/>
              <w:contextualSpacing/>
              <w:jc w:val="left"/>
              <w:rPr>
                <w:rFonts w:hint="eastAsia" w:ascii="宋体" w:hAnsi="宋体" w:eastAsia="宋体" w:cs="宋体"/>
                <w:color w:val="auto"/>
                <w:sz w:val="24"/>
                <w:szCs w:val="24"/>
                <w:highlight w:val="none"/>
              </w:rPr>
            </w:pPr>
          </w:p>
        </w:tc>
        <w:tc>
          <w:tcPr>
            <w:tcW w:w="838" w:type="dxa"/>
            <w:tcBorders>
              <w:top w:val="single" w:color="auto" w:sz="4" w:space="0"/>
              <w:left w:val="single" w:color="auto" w:sz="4" w:space="0"/>
              <w:bottom w:val="single" w:color="auto" w:sz="4" w:space="0"/>
              <w:right w:val="single" w:color="auto" w:sz="4" w:space="0"/>
            </w:tcBorders>
            <w:noWrap w:val="0"/>
            <w:vAlign w:val="top"/>
          </w:tcPr>
          <w:p w14:paraId="13494CD1">
            <w:pPr>
              <w:pStyle w:val="215"/>
              <w:spacing w:after="0" w:line="360" w:lineRule="auto"/>
              <w:contextualSpacing/>
              <w:jc w:val="left"/>
              <w:rPr>
                <w:rFonts w:hint="eastAsia" w:ascii="宋体" w:hAnsi="宋体" w:eastAsia="宋体" w:cs="宋体"/>
                <w:color w:val="auto"/>
                <w:sz w:val="24"/>
                <w:szCs w:val="24"/>
                <w:highlight w:val="none"/>
              </w:rPr>
            </w:pPr>
          </w:p>
        </w:tc>
      </w:tr>
      <w:tr w14:paraId="12B16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9" w:type="dxa"/>
            <w:tcBorders>
              <w:top w:val="single" w:color="auto" w:sz="4" w:space="0"/>
              <w:left w:val="single" w:color="auto" w:sz="4" w:space="0"/>
              <w:bottom w:val="single" w:color="auto" w:sz="4" w:space="0"/>
              <w:right w:val="single" w:color="auto" w:sz="4" w:space="0"/>
            </w:tcBorders>
            <w:noWrap w:val="0"/>
            <w:vAlign w:val="center"/>
          </w:tcPr>
          <w:p w14:paraId="182020EA">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运维服务期</w:t>
            </w:r>
          </w:p>
        </w:tc>
        <w:tc>
          <w:tcPr>
            <w:tcW w:w="3808" w:type="dxa"/>
            <w:tcBorders>
              <w:top w:val="single" w:color="auto" w:sz="4" w:space="0"/>
              <w:left w:val="single" w:color="auto" w:sz="4" w:space="0"/>
              <w:bottom w:val="single" w:color="auto" w:sz="4" w:space="0"/>
              <w:right w:val="single" w:color="auto" w:sz="4" w:space="0"/>
            </w:tcBorders>
            <w:noWrap w:val="0"/>
            <w:vAlign w:val="center"/>
          </w:tcPr>
          <w:p w14:paraId="48F907A8">
            <w:pPr>
              <w:spacing w:line="360" w:lineRule="auto"/>
              <w:rPr>
                <w:rFonts w:hint="eastAsia" w:ascii="宋体" w:hAnsi="宋体" w:eastAsia="宋体" w:cs="宋体"/>
                <w:color w:val="auto"/>
                <w:szCs w:val="21"/>
                <w:highlight w:val="none"/>
              </w:rPr>
            </w:pPr>
          </w:p>
        </w:tc>
        <w:tc>
          <w:tcPr>
            <w:tcW w:w="2970" w:type="dxa"/>
            <w:tcBorders>
              <w:top w:val="single" w:color="auto" w:sz="4" w:space="0"/>
              <w:left w:val="single" w:color="auto" w:sz="4" w:space="0"/>
              <w:bottom w:val="single" w:color="auto" w:sz="4" w:space="0"/>
              <w:right w:val="single" w:color="auto" w:sz="4" w:space="0"/>
            </w:tcBorders>
            <w:noWrap w:val="0"/>
            <w:vAlign w:val="top"/>
          </w:tcPr>
          <w:p w14:paraId="04461376">
            <w:pPr>
              <w:pStyle w:val="215"/>
              <w:spacing w:after="0" w:line="360" w:lineRule="auto"/>
              <w:contextualSpacing/>
              <w:jc w:val="left"/>
              <w:rPr>
                <w:rFonts w:hint="eastAsia" w:ascii="宋体" w:hAnsi="宋体" w:eastAsia="宋体" w:cs="宋体"/>
                <w:color w:val="auto"/>
                <w:sz w:val="24"/>
                <w:szCs w:val="24"/>
                <w:highlight w:val="none"/>
              </w:rPr>
            </w:pPr>
          </w:p>
        </w:tc>
        <w:tc>
          <w:tcPr>
            <w:tcW w:w="838" w:type="dxa"/>
            <w:tcBorders>
              <w:top w:val="single" w:color="auto" w:sz="4" w:space="0"/>
              <w:left w:val="single" w:color="auto" w:sz="4" w:space="0"/>
              <w:bottom w:val="single" w:color="auto" w:sz="4" w:space="0"/>
              <w:right w:val="single" w:color="auto" w:sz="4" w:space="0"/>
            </w:tcBorders>
            <w:noWrap w:val="0"/>
            <w:vAlign w:val="top"/>
          </w:tcPr>
          <w:p w14:paraId="30AE4A65">
            <w:pPr>
              <w:pStyle w:val="215"/>
              <w:spacing w:after="0" w:line="360" w:lineRule="auto"/>
              <w:contextualSpacing/>
              <w:jc w:val="left"/>
              <w:rPr>
                <w:rFonts w:hint="eastAsia" w:ascii="宋体" w:hAnsi="宋体" w:eastAsia="宋体" w:cs="宋体"/>
                <w:color w:val="auto"/>
                <w:sz w:val="24"/>
                <w:szCs w:val="24"/>
                <w:highlight w:val="none"/>
              </w:rPr>
            </w:pPr>
          </w:p>
        </w:tc>
      </w:tr>
      <w:tr w14:paraId="6BFFA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9" w:type="dxa"/>
            <w:tcBorders>
              <w:top w:val="single" w:color="auto" w:sz="4" w:space="0"/>
              <w:left w:val="single" w:color="auto" w:sz="4" w:space="0"/>
              <w:bottom w:val="single" w:color="auto" w:sz="4" w:space="0"/>
              <w:right w:val="single" w:color="auto" w:sz="4" w:space="0"/>
            </w:tcBorders>
            <w:noWrap w:val="0"/>
            <w:vAlign w:val="center"/>
          </w:tcPr>
          <w:p w14:paraId="19258B59">
            <w:pPr>
              <w:pStyle w:val="45"/>
              <w:spacing w:line="360" w:lineRule="auto"/>
              <w:jc w:val="center"/>
              <w:outlineLvl w:val="0"/>
              <w:rPr>
                <w:rFonts w:hint="eastAsia" w:ascii="宋体" w:hAnsi="宋体" w:eastAsia="宋体" w:cs="宋体"/>
                <w:color w:val="auto"/>
                <w:sz w:val="24"/>
                <w:szCs w:val="24"/>
                <w:highlight w:val="none"/>
              </w:rPr>
            </w:pPr>
            <w:r>
              <w:rPr>
                <w:rFonts w:hint="eastAsia" w:ascii="宋体" w:hAnsi="宋体" w:cs="宋体"/>
                <w:color w:val="auto"/>
                <w:sz w:val="24"/>
                <w:highlight w:val="none"/>
                <w:vertAlign w:val="baseline"/>
                <w:lang w:val="en-US" w:eastAsia="zh-CN"/>
              </w:rPr>
              <w:t>交货地点</w:t>
            </w:r>
          </w:p>
        </w:tc>
        <w:tc>
          <w:tcPr>
            <w:tcW w:w="3808" w:type="dxa"/>
            <w:tcBorders>
              <w:top w:val="single" w:color="auto" w:sz="4" w:space="0"/>
              <w:left w:val="single" w:color="auto" w:sz="4" w:space="0"/>
              <w:bottom w:val="single" w:color="auto" w:sz="4" w:space="0"/>
              <w:right w:val="single" w:color="auto" w:sz="4" w:space="0"/>
            </w:tcBorders>
            <w:noWrap w:val="0"/>
            <w:vAlign w:val="center"/>
          </w:tcPr>
          <w:p w14:paraId="685C87ED">
            <w:pPr>
              <w:numPr>
                <w:ilvl w:val="0"/>
                <w:numId w:val="0"/>
              </w:numPr>
              <w:spacing w:line="360" w:lineRule="auto"/>
              <w:ind w:left="0" w:firstLine="0"/>
              <w:rPr>
                <w:rFonts w:hint="eastAsia" w:ascii="宋体" w:hAnsi="宋体" w:eastAsia="宋体" w:cs="宋体"/>
                <w:color w:val="auto"/>
                <w:sz w:val="24"/>
                <w:highlight w:val="none"/>
              </w:rPr>
            </w:pPr>
          </w:p>
        </w:tc>
        <w:tc>
          <w:tcPr>
            <w:tcW w:w="2970" w:type="dxa"/>
            <w:tcBorders>
              <w:top w:val="single" w:color="auto" w:sz="4" w:space="0"/>
              <w:left w:val="single" w:color="auto" w:sz="4" w:space="0"/>
              <w:bottom w:val="single" w:color="auto" w:sz="4" w:space="0"/>
              <w:right w:val="single" w:color="auto" w:sz="4" w:space="0"/>
            </w:tcBorders>
            <w:noWrap w:val="0"/>
            <w:vAlign w:val="top"/>
          </w:tcPr>
          <w:p w14:paraId="007434EC">
            <w:pPr>
              <w:pStyle w:val="215"/>
              <w:spacing w:after="0" w:line="360" w:lineRule="auto"/>
              <w:contextualSpacing/>
              <w:jc w:val="left"/>
              <w:rPr>
                <w:rFonts w:hint="eastAsia" w:ascii="宋体" w:hAnsi="宋体" w:eastAsia="宋体" w:cs="宋体"/>
                <w:color w:val="auto"/>
                <w:sz w:val="24"/>
                <w:szCs w:val="24"/>
                <w:highlight w:val="none"/>
              </w:rPr>
            </w:pPr>
          </w:p>
        </w:tc>
        <w:tc>
          <w:tcPr>
            <w:tcW w:w="838" w:type="dxa"/>
            <w:tcBorders>
              <w:top w:val="single" w:color="auto" w:sz="4" w:space="0"/>
              <w:left w:val="single" w:color="auto" w:sz="4" w:space="0"/>
              <w:bottom w:val="single" w:color="auto" w:sz="4" w:space="0"/>
              <w:right w:val="single" w:color="auto" w:sz="4" w:space="0"/>
            </w:tcBorders>
            <w:noWrap w:val="0"/>
            <w:vAlign w:val="top"/>
          </w:tcPr>
          <w:p w14:paraId="3C36EDCF">
            <w:pPr>
              <w:pStyle w:val="215"/>
              <w:spacing w:after="0" w:line="360" w:lineRule="auto"/>
              <w:contextualSpacing/>
              <w:jc w:val="left"/>
              <w:rPr>
                <w:rFonts w:hint="eastAsia" w:ascii="宋体" w:hAnsi="宋体" w:eastAsia="宋体" w:cs="宋体"/>
                <w:color w:val="auto"/>
                <w:sz w:val="24"/>
                <w:szCs w:val="24"/>
                <w:highlight w:val="none"/>
              </w:rPr>
            </w:pPr>
          </w:p>
        </w:tc>
      </w:tr>
      <w:tr w14:paraId="2DE88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9" w:type="dxa"/>
            <w:tcBorders>
              <w:top w:val="single" w:color="auto" w:sz="4" w:space="0"/>
              <w:left w:val="single" w:color="auto" w:sz="4" w:space="0"/>
              <w:bottom w:val="single" w:color="auto" w:sz="4" w:space="0"/>
              <w:right w:val="single" w:color="auto" w:sz="4" w:space="0"/>
            </w:tcBorders>
            <w:noWrap w:val="0"/>
            <w:vAlign w:val="center"/>
          </w:tcPr>
          <w:p w14:paraId="6D87C27A">
            <w:pPr>
              <w:pStyle w:val="45"/>
              <w:spacing w:line="360" w:lineRule="auto"/>
              <w:jc w:val="center"/>
              <w:outlineLvl w:val="0"/>
              <w:rPr>
                <w:rFonts w:hint="eastAsia" w:ascii="宋体" w:hAnsi="宋体" w:eastAsia="宋体" w:cs="宋体"/>
                <w:color w:val="auto"/>
                <w:sz w:val="24"/>
                <w:highlight w:val="none"/>
                <w:lang w:val="en-US" w:eastAsia="zh-CN"/>
              </w:rPr>
            </w:pPr>
            <w:r>
              <w:rPr>
                <w:rFonts w:hint="eastAsia" w:hAnsi="宋体" w:cs="宋体"/>
                <w:color w:val="auto"/>
                <w:sz w:val="24"/>
                <w:highlight w:val="none"/>
                <w:lang w:val="en-US" w:eastAsia="zh-CN"/>
              </w:rPr>
              <w:t>……</w:t>
            </w:r>
          </w:p>
        </w:tc>
        <w:tc>
          <w:tcPr>
            <w:tcW w:w="3808" w:type="dxa"/>
            <w:tcBorders>
              <w:top w:val="single" w:color="auto" w:sz="4" w:space="0"/>
              <w:left w:val="single" w:color="auto" w:sz="4" w:space="0"/>
              <w:bottom w:val="single" w:color="auto" w:sz="4" w:space="0"/>
              <w:right w:val="single" w:color="auto" w:sz="4" w:space="0"/>
            </w:tcBorders>
            <w:noWrap w:val="0"/>
            <w:vAlign w:val="center"/>
          </w:tcPr>
          <w:p w14:paraId="66828E38">
            <w:pPr>
              <w:pStyle w:val="45"/>
              <w:spacing w:line="360" w:lineRule="auto"/>
              <w:jc w:val="left"/>
              <w:outlineLvl w:val="0"/>
              <w:rPr>
                <w:rFonts w:hint="eastAsia" w:ascii="宋体" w:hAnsi="宋体" w:eastAsia="宋体" w:cs="宋体"/>
                <w:color w:val="auto"/>
                <w:sz w:val="24"/>
                <w:highlight w:val="none"/>
              </w:rPr>
            </w:pPr>
          </w:p>
        </w:tc>
        <w:tc>
          <w:tcPr>
            <w:tcW w:w="2970" w:type="dxa"/>
            <w:tcBorders>
              <w:top w:val="single" w:color="auto" w:sz="4" w:space="0"/>
              <w:left w:val="single" w:color="auto" w:sz="4" w:space="0"/>
              <w:bottom w:val="single" w:color="auto" w:sz="4" w:space="0"/>
              <w:right w:val="single" w:color="auto" w:sz="4" w:space="0"/>
            </w:tcBorders>
            <w:noWrap w:val="0"/>
            <w:vAlign w:val="top"/>
          </w:tcPr>
          <w:p w14:paraId="20C4F4AA">
            <w:pPr>
              <w:pStyle w:val="215"/>
              <w:spacing w:after="0" w:line="360" w:lineRule="auto"/>
              <w:contextualSpacing/>
              <w:jc w:val="left"/>
              <w:rPr>
                <w:rFonts w:hint="eastAsia" w:ascii="宋体" w:hAnsi="宋体" w:eastAsia="宋体" w:cs="宋体"/>
                <w:color w:val="auto"/>
                <w:sz w:val="24"/>
                <w:szCs w:val="24"/>
                <w:highlight w:val="none"/>
              </w:rPr>
            </w:pPr>
          </w:p>
        </w:tc>
        <w:tc>
          <w:tcPr>
            <w:tcW w:w="838" w:type="dxa"/>
            <w:tcBorders>
              <w:top w:val="single" w:color="auto" w:sz="4" w:space="0"/>
              <w:left w:val="single" w:color="auto" w:sz="4" w:space="0"/>
              <w:bottom w:val="single" w:color="auto" w:sz="4" w:space="0"/>
              <w:right w:val="single" w:color="auto" w:sz="4" w:space="0"/>
            </w:tcBorders>
            <w:noWrap w:val="0"/>
            <w:vAlign w:val="top"/>
          </w:tcPr>
          <w:p w14:paraId="0C99EF96">
            <w:pPr>
              <w:pStyle w:val="215"/>
              <w:spacing w:after="0" w:line="360" w:lineRule="auto"/>
              <w:contextualSpacing/>
              <w:jc w:val="left"/>
              <w:rPr>
                <w:rFonts w:hint="eastAsia" w:ascii="宋体" w:hAnsi="宋体" w:eastAsia="宋体" w:cs="宋体"/>
                <w:color w:val="auto"/>
                <w:sz w:val="24"/>
                <w:szCs w:val="24"/>
                <w:highlight w:val="none"/>
              </w:rPr>
            </w:pPr>
          </w:p>
        </w:tc>
      </w:tr>
      <w:tr w14:paraId="48D20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9" w:type="dxa"/>
            <w:tcBorders>
              <w:top w:val="single" w:color="auto" w:sz="4" w:space="0"/>
              <w:left w:val="single" w:color="auto" w:sz="4" w:space="0"/>
              <w:bottom w:val="single" w:color="auto" w:sz="4" w:space="0"/>
              <w:right w:val="single" w:color="auto" w:sz="4" w:space="0"/>
            </w:tcBorders>
            <w:noWrap w:val="0"/>
            <w:vAlign w:val="center"/>
          </w:tcPr>
          <w:p w14:paraId="5AA29C73">
            <w:pPr>
              <w:spacing w:line="360" w:lineRule="auto"/>
              <w:jc w:val="center"/>
              <w:rPr>
                <w:rFonts w:hint="eastAsia" w:ascii="宋体" w:hAnsi="宋体" w:eastAsia="宋体" w:cs="宋体"/>
                <w:b/>
                <w:color w:val="auto"/>
                <w:szCs w:val="21"/>
                <w:highlight w:val="none"/>
              </w:rPr>
            </w:pPr>
          </w:p>
        </w:tc>
        <w:tc>
          <w:tcPr>
            <w:tcW w:w="3808" w:type="dxa"/>
            <w:tcBorders>
              <w:top w:val="single" w:color="auto" w:sz="4" w:space="0"/>
              <w:left w:val="single" w:color="auto" w:sz="4" w:space="0"/>
              <w:bottom w:val="single" w:color="auto" w:sz="4" w:space="0"/>
              <w:right w:val="single" w:color="auto" w:sz="4" w:space="0"/>
            </w:tcBorders>
            <w:noWrap w:val="0"/>
            <w:vAlign w:val="center"/>
          </w:tcPr>
          <w:p w14:paraId="78F4046C">
            <w:pPr>
              <w:spacing w:line="360" w:lineRule="auto"/>
              <w:rPr>
                <w:rFonts w:hint="eastAsia" w:ascii="宋体" w:hAnsi="宋体" w:eastAsia="宋体" w:cs="宋体"/>
                <w:color w:val="auto"/>
                <w:szCs w:val="21"/>
                <w:highlight w:val="none"/>
              </w:rPr>
            </w:pPr>
          </w:p>
        </w:tc>
        <w:tc>
          <w:tcPr>
            <w:tcW w:w="2970" w:type="dxa"/>
            <w:tcBorders>
              <w:top w:val="single" w:color="auto" w:sz="4" w:space="0"/>
              <w:left w:val="single" w:color="auto" w:sz="4" w:space="0"/>
              <w:bottom w:val="single" w:color="auto" w:sz="4" w:space="0"/>
              <w:right w:val="single" w:color="auto" w:sz="4" w:space="0"/>
            </w:tcBorders>
            <w:noWrap w:val="0"/>
            <w:vAlign w:val="top"/>
          </w:tcPr>
          <w:p w14:paraId="228D7F19">
            <w:pPr>
              <w:pStyle w:val="215"/>
              <w:spacing w:after="0" w:line="360" w:lineRule="auto"/>
              <w:contextualSpacing/>
              <w:jc w:val="left"/>
              <w:rPr>
                <w:rFonts w:hint="eastAsia" w:ascii="宋体" w:hAnsi="宋体" w:eastAsia="宋体" w:cs="宋体"/>
                <w:color w:val="auto"/>
                <w:sz w:val="24"/>
                <w:szCs w:val="24"/>
                <w:highlight w:val="none"/>
              </w:rPr>
            </w:pPr>
          </w:p>
        </w:tc>
        <w:tc>
          <w:tcPr>
            <w:tcW w:w="838" w:type="dxa"/>
            <w:tcBorders>
              <w:top w:val="single" w:color="auto" w:sz="4" w:space="0"/>
              <w:left w:val="single" w:color="auto" w:sz="4" w:space="0"/>
              <w:bottom w:val="single" w:color="auto" w:sz="4" w:space="0"/>
              <w:right w:val="single" w:color="auto" w:sz="4" w:space="0"/>
            </w:tcBorders>
            <w:noWrap w:val="0"/>
            <w:vAlign w:val="top"/>
          </w:tcPr>
          <w:p w14:paraId="4DB04448">
            <w:pPr>
              <w:pStyle w:val="215"/>
              <w:spacing w:after="0" w:line="360" w:lineRule="auto"/>
              <w:contextualSpacing/>
              <w:jc w:val="left"/>
              <w:rPr>
                <w:rFonts w:hint="eastAsia" w:ascii="宋体" w:hAnsi="宋体" w:eastAsia="宋体" w:cs="宋体"/>
                <w:color w:val="auto"/>
                <w:sz w:val="24"/>
                <w:szCs w:val="24"/>
                <w:highlight w:val="none"/>
              </w:rPr>
            </w:pPr>
          </w:p>
        </w:tc>
      </w:tr>
      <w:tr w14:paraId="067E5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9" w:type="dxa"/>
            <w:tcBorders>
              <w:top w:val="single" w:color="auto" w:sz="4" w:space="0"/>
              <w:left w:val="single" w:color="auto" w:sz="4" w:space="0"/>
              <w:bottom w:val="single" w:color="auto" w:sz="4" w:space="0"/>
              <w:right w:val="single" w:color="auto" w:sz="4" w:space="0"/>
            </w:tcBorders>
            <w:noWrap w:val="0"/>
            <w:vAlign w:val="center"/>
          </w:tcPr>
          <w:p w14:paraId="672C718F">
            <w:pPr>
              <w:spacing w:line="360" w:lineRule="auto"/>
              <w:jc w:val="center"/>
              <w:rPr>
                <w:rFonts w:hint="eastAsia" w:ascii="宋体" w:hAnsi="宋体" w:eastAsia="宋体" w:cs="宋体"/>
                <w:b/>
                <w:color w:val="auto"/>
                <w:sz w:val="21"/>
                <w:szCs w:val="21"/>
                <w:highlight w:val="none"/>
                <w:lang w:val="en-US" w:eastAsia="zh-CN"/>
              </w:rPr>
            </w:pPr>
          </w:p>
        </w:tc>
        <w:tc>
          <w:tcPr>
            <w:tcW w:w="3808" w:type="dxa"/>
            <w:tcBorders>
              <w:top w:val="single" w:color="auto" w:sz="4" w:space="0"/>
              <w:left w:val="single" w:color="auto" w:sz="4" w:space="0"/>
              <w:bottom w:val="single" w:color="auto" w:sz="4" w:space="0"/>
              <w:right w:val="single" w:color="auto" w:sz="4" w:space="0"/>
            </w:tcBorders>
            <w:noWrap w:val="0"/>
            <w:vAlign w:val="center"/>
          </w:tcPr>
          <w:p w14:paraId="736F2B03">
            <w:pPr>
              <w:spacing w:line="360" w:lineRule="auto"/>
              <w:rPr>
                <w:rFonts w:hint="eastAsia" w:ascii="宋体" w:hAnsi="宋体" w:eastAsia="宋体" w:cs="宋体"/>
                <w:color w:val="auto"/>
                <w:szCs w:val="21"/>
                <w:highlight w:val="none"/>
              </w:rPr>
            </w:pPr>
          </w:p>
        </w:tc>
        <w:tc>
          <w:tcPr>
            <w:tcW w:w="2970" w:type="dxa"/>
            <w:tcBorders>
              <w:top w:val="single" w:color="auto" w:sz="4" w:space="0"/>
              <w:left w:val="single" w:color="auto" w:sz="4" w:space="0"/>
              <w:bottom w:val="single" w:color="auto" w:sz="4" w:space="0"/>
              <w:right w:val="single" w:color="auto" w:sz="4" w:space="0"/>
            </w:tcBorders>
            <w:noWrap w:val="0"/>
            <w:vAlign w:val="top"/>
          </w:tcPr>
          <w:p w14:paraId="39A78FE4">
            <w:pPr>
              <w:pStyle w:val="215"/>
              <w:spacing w:after="0" w:line="360" w:lineRule="auto"/>
              <w:contextualSpacing/>
              <w:jc w:val="left"/>
              <w:rPr>
                <w:rFonts w:hint="eastAsia" w:ascii="宋体" w:hAnsi="宋体" w:eastAsia="宋体" w:cs="宋体"/>
                <w:color w:val="auto"/>
                <w:sz w:val="24"/>
                <w:szCs w:val="24"/>
                <w:highlight w:val="none"/>
              </w:rPr>
            </w:pPr>
          </w:p>
        </w:tc>
        <w:tc>
          <w:tcPr>
            <w:tcW w:w="838" w:type="dxa"/>
            <w:tcBorders>
              <w:top w:val="single" w:color="auto" w:sz="4" w:space="0"/>
              <w:left w:val="single" w:color="auto" w:sz="4" w:space="0"/>
              <w:bottom w:val="single" w:color="auto" w:sz="4" w:space="0"/>
              <w:right w:val="single" w:color="auto" w:sz="4" w:space="0"/>
            </w:tcBorders>
            <w:noWrap w:val="0"/>
            <w:vAlign w:val="top"/>
          </w:tcPr>
          <w:p w14:paraId="0EB34AAB">
            <w:pPr>
              <w:pStyle w:val="215"/>
              <w:spacing w:after="0" w:line="360" w:lineRule="auto"/>
              <w:contextualSpacing/>
              <w:jc w:val="left"/>
              <w:rPr>
                <w:rFonts w:hint="eastAsia" w:ascii="宋体" w:hAnsi="宋体" w:eastAsia="宋体" w:cs="宋体"/>
                <w:color w:val="auto"/>
                <w:sz w:val="24"/>
                <w:szCs w:val="24"/>
                <w:highlight w:val="none"/>
              </w:rPr>
            </w:pPr>
          </w:p>
        </w:tc>
      </w:tr>
      <w:tr w14:paraId="62BC7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9" w:type="dxa"/>
            <w:tcBorders>
              <w:top w:val="single" w:color="auto" w:sz="4" w:space="0"/>
              <w:left w:val="single" w:color="auto" w:sz="4" w:space="0"/>
              <w:bottom w:val="single" w:color="auto" w:sz="4" w:space="0"/>
              <w:right w:val="single" w:color="auto" w:sz="4" w:space="0"/>
            </w:tcBorders>
            <w:noWrap w:val="0"/>
            <w:vAlign w:val="center"/>
          </w:tcPr>
          <w:p w14:paraId="2993116C">
            <w:pPr>
              <w:spacing w:line="360" w:lineRule="auto"/>
              <w:jc w:val="center"/>
              <w:rPr>
                <w:rFonts w:hint="eastAsia" w:ascii="宋体" w:hAnsi="宋体" w:eastAsia="宋体" w:cs="宋体"/>
                <w:b/>
                <w:bCs/>
                <w:color w:val="auto"/>
                <w:szCs w:val="21"/>
                <w:highlight w:val="none"/>
                <w:lang w:val="en-US" w:eastAsia="zh-CN"/>
              </w:rPr>
            </w:pPr>
          </w:p>
        </w:tc>
        <w:tc>
          <w:tcPr>
            <w:tcW w:w="3808" w:type="dxa"/>
            <w:tcBorders>
              <w:top w:val="single" w:color="auto" w:sz="4" w:space="0"/>
              <w:left w:val="single" w:color="auto" w:sz="4" w:space="0"/>
              <w:bottom w:val="single" w:color="auto" w:sz="4" w:space="0"/>
              <w:right w:val="single" w:color="auto" w:sz="4" w:space="0"/>
            </w:tcBorders>
            <w:noWrap w:val="0"/>
            <w:vAlign w:val="center"/>
          </w:tcPr>
          <w:p w14:paraId="4C14AF57">
            <w:pPr>
              <w:spacing w:line="360" w:lineRule="auto"/>
              <w:rPr>
                <w:rFonts w:hint="eastAsia" w:ascii="宋体" w:hAnsi="宋体" w:eastAsia="宋体" w:cs="宋体"/>
                <w:color w:val="auto"/>
                <w:szCs w:val="21"/>
                <w:highlight w:val="none"/>
              </w:rPr>
            </w:pPr>
          </w:p>
        </w:tc>
        <w:tc>
          <w:tcPr>
            <w:tcW w:w="2970" w:type="dxa"/>
            <w:tcBorders>
              <w:top w:val="single" w:color="auto" w:sz="4" w:space="0"/>
              <w:left w:val="single" w:color="auto" w:sz="4" w:space="0"/>
              <w:bottom w:val="single" w:color="auto" w:sz="4" w:space="0"/>
              <w:right w:val="single" w:color="auto" w:sz="4" w:space="0"/>
            </w:tcBorders>
            <w:noWrap w:val="0"/>
            <w:vAlign w:val="top"/>
          </w:tcPr>
          <w:p w14:paraId="0A703679">
            <w:pPr>
              <w:pStyle w:val="215"/>
              <w:spacing w:after="0" w:line="360" w:lineRule="auto"/>
              <w:contextualSpacing/>
              <w:jc w:val="left"/>
              <w:rPr>
                <w:rFonts w:hint="eastAsia" w:ascii="宋体" w:hAnsi="宋体" w:eastAsia="宋体" w:cs="宋体"/>
                <w:color w:val="auto"/>
                <w:sz w:val="24"/>
                <w:szCs w:val="24"/>
                <w:highlight w:val="none"/>
              </w:rPr>
            </w:pPr>
          </w:p>
        </w:tc>
        <w:tc>
          <w:tcPr>
            <w:tcW w:w="838" w:type="dxa"/>
            <w:tcBorders>
              <w:top w:val="single" w:color="auto" w:sz="4" w:space="0"/>
              <w:left w:val="single" w:color="auto" w:sz="4" w:space="0"/>
              <w:bottom w:val="single" w:color="auto" w:sz="4" w:space="0"/>
              <w:right w:val="single" w:color="auto" w:sz="4" w:space="0"/>
            </w:tcBorders>
            <w:noWrap w:val="0"/>
            <w:vAlign w:val="top"/>
          </w:tcPr>
          <w:p w14:paraId="794EF2D7">
            <w:pPr>
              <w:pStyle w:val="215"/>
              <w:spacing w:after="0" w:line="360" w:lineRule="auto"/>
              <w:contextualSpacing/>
              <w:jc w:val="left"/>
              <w:rPr>
                <w:rFonts w:hint="eastAsia" w:ascii="宋体" w:hAnsi="宋体" w:eastAsia="宋体" w:cs="宋体"/>
                <w:color w:val="auto"/>
                <w:sz w:val="24"/>
                <w:szCs w:val="24"/>
                <w:highlight w:val="none"/>
              </w:rPr>
            </w:pPr>
          </w:p>
        </w:tc>
      </w:tr>
    </w:tbl>
    <w:p w14:paraId="6B545872">
      <w:pPr>
        <w:pStyle w:val="215"/>
        <w:spacing w:after="0" w:line="360" w:lineRule="auto"/>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2AC46332">
      <w:pPr>
        <w:pStyle w:val="215"/>
        <w:spacing w:after="0" w:line="360" w:lineRule="auto"/>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说明：应对照磋商文件“第三章 采购需求”中的商务</w:t>
      </w:r>
      <w:r>
        <w:rPr>
          <w:rFonts w:hint="eastAsia" w:ascii="宋体" w:hAnsi="宋体" w:cs="宋体"/>
          <w:color w:val="auto"/>
          <w:sz w:val="24"/>
          <w:szCs w:val="24"/>
          <w:highlight w:val="none"/>
          <w:lang w:val="en-US" w:eastAsia="zh-CN"/>
        </w:rPr>
        <w:t>条款</w:t>
      </w:r>
      <w:r>
        <w:rPr>
          <w:rFonts w:hint="eastAsia" w:ascii="宋体" w:hAnsi="宋体" w:eastAsia="宋体" w:cs="宋体"/>
          <w:color w:val="auto"/>
          <w:sz w:val="24"/>
          <w:szCs w:val="24"/>
          <w:highlight w:val="none"/>
        </w:rPr>
        <w:t>逐条作出明确响应，并作出偏离说明。</w:t>
      </w:r>
    </w:p>
    <w:p w14:paraId="6BEFDE77">
      <w:pPr>
        <w:spacing w:line="360" w:lineRule="auto"/>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2.供应商应根据自身的承诺，对照磋商文件要求在“偏离说明”中注明“正偏离”、“负偏离”或者“无偏离”。既不属于“正偏离”也不属于“负偏离”即为“无偏离”。</w:t>
      </w:r>
    </w:p>
    <w:p w14:paraId="7A53F162">
      <w:pPr>
        <w:spacing w:line="360" w:lineRule="auto"/>
        <w:ind w:right="-817"/>
        <w:contextualSpacing/>
        <w:rPr>
          <w:rFonts w:hint="eastAsia" w:ascii="宋体" w:hAnsi="宋体" w:eastAsia="宋体" w:cs="宋体"/>
          <w:color w:val="auto"/>
          <w:sz w:val="24"/>
          <w:highlight w:val="none"/>
        </w:rPr>
      </w:pPr>
    </w:p>
    <w:p w14:paraId="15EC780C">
      <w:pPr>
        <w:spacing w:line="360" w:lineRule="auto"/>
        <w:ind w:right="-817"/>
        <w:contextualSpacing/>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法定代表人或者委托代理人（签字）：</w:t>
      </w:r>
    </w:p>
    <w:p w14:paraId="114CFCF7">
      <w:pPr>
        <w:spacing w:line="360" w:lineRule="auto"/>
        <w:ind w:right="-817" w:firstLine="336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供应商（公章）：      </w:t>
      </w:r>
    </w:p>
    <w:p w14:paraId="6949C68B">
      <w:pPr>
        <w:spacing w:line="360" w:lineRule="auto"/>
        <w:ind w:right="-817" w:firstLine="4080"/>
        <w:contextualSpacing/>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rPr>
        <w:t>日期：   年   月   日</w:t>
      </w:r>
    </w:p>
    <w:p w14:paraId="213C55F4">
      <w:pPr>
        <w:spacing w:line="300" w:lineRule="auto"/>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br w:type="page" w:clear="all"/>
      </w:r>
      <w:r>
        <w:rPr>
          <w:rFonts w:hint="eastAsia" w:ascii="宋体" w:hAnsi="宋体" w:eastAsia="宋体" w:cs="宋体"/>
          <w:bCs/>
          <w:color w:val="auto"/>
          <w:sz w:val="44"/>
          <w:szCs w:val="44"/>
          <w:highlight w:val="none"/>
          <w:lang w:val="en-US" w:eastAsia="zh-CN"/>
        </w:rPr>
        <w:t>技术</w:t>
      </w:r>
      <w:r>
        <w:rPr>
          <w:rFonts w:hint="eastAsia" w:ascii="宋体" w:hAnsi="宋体" w:cs="宋体"/>
          <w:bCs/>
          <w:color w:val="auto"/>
          <w:sz w:val="44"/>
          <w:szCs w:val="44"/>
          <w:highlight w:val="none"/>
          <w:lang w:val="en-US" w:eastAsia="zh-CN"/>
        </w:rPr>
        <w:t>（服务）</w:t>
      </w:r>
      <w:r>
        <w:rPr>
          <w:rFonts w:hint="eastAsia" w:ascii="宋体" w:hAnsi="宋体" w:eastAsia="宋体" w:cs="宋体"/>
          <w:bCs/>
          <w:color w:val="auto"/>
          <w:sz w:val="44"/>
          <w:szCs w:val="44"/>
          <w:highlight w:val="none"/>
        </w:rPr>
        <w:t>要求偏离表</w:t>
      </w:r>
    </w:p>
    <w:p w14:paraId="6CBEE4F5">
      <w:pPr>
        <w:spacing w:line="520" w:lineRule="exact"/>
        <w:rPr>
          <w:rFonts w:hint="eastAsia" w:ascii="宋体" w:hAnsi="宋体" w:eastAsia="宋体" w:cs="宋体"/>
          <w:color w:val="auto"/>
          <w:sz w:val="32"/>
          <w:szCs w:val="32"/>
          <w:highlight w:val="none"/>
        </w:rPr>
      </w:pPr>
    </w:p>
    <w:p w14:paraId="2E0C4F43">
      <w:pPr>
        <w:spacing w:line="360" w:lineRule="auto"/>
        <w:contextualSpacing/>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采购项目编号：</w:t>
      </w:r>
      <w:r>
        <w:rPr>
          <w:rFonts w:hint="eastAsia" w:ascii="宋体" w:hAnsi="宋体" w:eastAsia="宋体" w:cs="宋体"/>
          <w:color w:val="auto"/>
          <w:sz w:val="24"/>
          <w:highlight w:val="none"/>
          <w:u w:val="single"/>
        </w:rPr>
        <w:t xml:space="preserve">                 </w:t>
      </w:r>
    </w:p>
    <w:p w14:paraId="00422648">
      <w:pPr>
        <w:spacing w:line="360" w:lineRule="auto"/>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采购项目名称：</w:t>
      </w:r>
      <w:r>
        <w:rPr>
          <w:rFonts w:hint="eastAsia" w:ascii="宋体" w:hAnsi="宋体" w:eastAsia="宋体" w:cs="宋体"/>
          <w:color w:val="auto"/>
          <w:sz w:val="24"/>
          <w:highlight w:val="none"/>
          <w:u w:val="single"/>
        </w:rPr>
        <w:t xml:space="preserve">                 </w:t>
      </w:r>
    </w:p>
    <w:p w14:paraId="28C5C336">
      <w:pPr>
        <w:spacing w:line="360" w:lineRule="auto"/>
        <w:contextualSpacing/>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分标号：</w:t>
      </w:r>
      <w:r>
        <w:rPr>
          <w:rFonts w:hint="eastAsia" w:ascii="宋体" w:hAnsi="宋体" w:eastAsia="宋体" w:cs="宋体"/>
          <w:color w:val="auto"/>
          <w:sz w:val="24"/>
          <w:highlight w:val="none"/>
          <w:u w:val="single"/>
        </w:rPr>
        <w:t xml:space="preserve">                       </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915"/>
        <w:gridCol w:w="915"/>
        <w:gridCol w:w="3038"/>
        <w:gridCol w:w="2735"/>
        <w:gridCol w:w="1492"/>
      </w:tblGrid>
      <w:tr w14:paraId="17F4C32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503" w:type="pct"/>
            <w:tcBorders>
              <w:top w:val="single" w:color="auto" w:sz="4" w:space="0"/>
              <w:left w:val="single" w:color="auto" w:sz="4" w:space="0"/>
              <w:bottom w:val="single" w:color="auto" w:sz="4" w:space="0"/>
              <w:right w:val="single" w:color="auto" w:sz="4" w:space="0"/>
            </w:tcBorders>
            <w:noWrap w:val="0"/>
            <w:vAlign w:val="center"/>
          </w:tcPr>
          <w:p w14:paraId="74286795">
            <w:pPr>
              <w:pStyle w:val="219"/>
              <w:spacing w:line="360" w:lineRule="auto"/>
              <w:ind w:firstLine="0"/>
              <w:contextualSpacing/>
              <w:jc w:val="center"/>
              <w:rPr>
                <w:rFonts w:hint="eastAsia" w:ascii="宋体" w:hAnsi="宋体" w:eastAsia="宋体" w:cs="宋体"/>
                <w:color w:val="auto"/>
                <w:sz w:val="24"/>
                <w:szCs w:val="24"/>
                <w:highlight w:val="none"/>
              </w:rPr>
            </w:pPr>
            <w:bookmarkStart w:id="84" w:name="_Toc173066401"/>
            <w:bookmarkStart w:id="85" w:name="_Toc301781611"/>
            <w:bookmarkStart w:id="86" w:name="_Toc295404981"/>
            <w:bookmarkStart w:id="87" w:name="_Toc373333689"/>
            <w:bookmarkStart w:id="88" w:name="_Toc297193185"/>
            <w:bookmarkStart w:id="89" w:name="_Toc173211900"/>
            <w:bookmarkStart w:id="90" w:name="_Toc254970588"/>
            <w:bookmarkStart w:id="91" w:name="_Toc254970729"/>
            <w:bookmarkStart w:id="92" w:name="_Toc383699906"/>
            <w:r>
              <w:rPr>
                <w:rFonts w:hint="eastAsia" w:ascii="宋体" w:hAnsi="宋体" w:eastAsia="宋体" w:cs="宋体"/>
                <w:color w:val="auto"/>
                <w:sz w:val="24"/>
                <w:szCs w:val="24"/>
                <w:highlight w:val="none"/>
              </w:rPr>
              <w:t>序号</w:t>
            </w:r>
            <w:bookmarkEnd w:id="84"/>
            <w:bookmarkEnd w:id="85"/>
            <w:bookmarkEnd w:id="86"/>
            <w:bookmarkEnd w:id="87"/>
            <w:bookmarkEnd w:id="88"/>
            <w:bookmarkEnd w:id="89"/>
            <w:bookmarkEnd w:id="90"/>
            <w:bookmarkEnd w:id="91"/>
            <w:bookmarkEnd w:id="92"/>
          </w:p>
        </w:tc>
        <w:tc>
          <w:tcPr>
            <w:tcW w:w="503" w:type="pct"/>
            <w:tcBorders>
              <w:top w:val="single" w:color="auto" w:sz="4" w:space="0"/>
              <w:left w:val="single" w:color="auto" w:sz="4" w:space="0"/>
              <w:bottom w:val="single" w:color="auto" w:sz="4" w:space="0"/>
              <w:right w:val="single" w:color="auto" w:sz="4" w:space="0"/>
            </w:tcBorders>
            <w:noWrap w:val="0"/>
            <w:vAlign w:val="center"/>
          </w:tcPr>
          <w:p w14:paraId="752F1147">
            <w:pPr>
              <w:pStyle w:val="219"/>
              <w:spacing w:line="360" w:lineRule="auto"/>
              <w:ind w:firstLine="0"/>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1670" w:type="pct"/>
            <w:tcBorders>
              <w:top w:val="single" w:color="auto" w:sz="4" w:space="0"/>
              <w:left w:val="single" w:color="auto" w:sz="4" w:space="0"/>
              <w:bottom w:val="single" w:color="auto" w:sz="4" w:space="0"/>
              <w:right w:val="single" w:color="auto" w:sz="4" w:space="0"/>
            </w:tcBorders>
            <w:noWrap w:val="0"/>
            <w:vAlign w:val="center"/>
          </w:tcPr>
          <w:p w14:paraId="1902DED9">
            <w:pPr>
              <w:pStyle w:val="219"/>
              <w:spacing w:line="360" w:lineRule="auto"/>
              <w:ind w:firstLine="0"/>
              <w:contextualSpacing/>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磋商文件</w:t>
            </w:r>
            <w:r>
              <w:rPr>
                <w:rFonts w:hint="eastAsia" w:ascii="宋体" w:hAnsi="宋体" w:eastAsia="宋体" w:cs="宋体"/>
                <w:color w:val="auto"/>
                <w:sz w:val="24"/>
                <w:szCs w:val="24"/>
                <w:highlight w:val="none"/>
                <w:lang w:eastAsia="zh-CN"/>
              </w:rPr>
              <w:t>技术要求</w:t>
            </w:r>
          </w:p>
        </w:tc>
        <w:tc>
          <w:tcPr>
            <w:tcW w:w="1503" w:type="pct"/>
            <w:tcBorders>
              <w:top w:val="single" w:color="auto" w:sz="4" w:space="0"/>
              <w:left w:val="single" w:color="auto" w:sz="4" w:space="0"/>
              <w:bottom w:val="single" w:color="auto" w:sz="4" w:space="0"/>
              <w:right w:val="single" w:color="auto" w:sz="4" w:space="0"/>
            </w:tcBorders>
            <w:noWrap w:val="0"/>
            <w:vAlign w:val="center"/>
          </w:tcPr>
          <w:p w14:paraId="19284EDC">
            <w:pPr>
              <w:pStyle w:val="219"/>
              <w:spacing w:line="360" w:lineRule="auto"/>
              <w:ind w:firstLine="0"/>
              <w:contextualSpacing/>
              <w:jc w:val="center"/>
              <w:rPr>
                <w:rFonts w:hint="eastAsia" w:ascii="宋体" w:hAnsi="宋体" w:eastAsia="宋体" w:cs="宋体"/>
                <w:color w:val="auto"/>
                <w:sz w:val="24"/>
                <w:szCs w:val="24"/>
                <w:highlight w:val="none"/>
              </w:rPr>
            </w:pPr>
            <w:bookmarkStart w:id="93" w:name="_Toc254970731"/>
            <w:bookmarkStart w:id="94" w:name="_Toc301781613"/>
            <w:bookmarkStart w:id="95" w:name="_Toc173211902"/>
            <w:bookmarkStart w:id="96" w:name="_Toc297193187"/>
            <w:bookmarkStart w:id="97" w:name="_Toc383699908"/>
            <w:bookmarkStart w:id="98" w:name="_Toc295404983"/>
            <w:bookmarkStart w:id="99" w:name="_Toc254970590"/>
            <w:bookmarkStart w:id="100" w:name="_Toc373333691"/>
            <w:bookmarkStart w:id="101" w:name="_Toc173066403"/>
            <w:r>
              <w:rPr>
                <w:rFonts w:hint="eastAsia" w:ascii="宋体" w:hAnsi="宋体" w:eastAsia="宋体" w:cs="宋体"/>
                <w:color w:val="auto"/>
                <w:sz w:val="24"/>
                <w:szCs w:val="24"/>
                <w:highlight w:val="none"/>
              </w:rPr>
              <w:t>竞标响应</w:t>
            </w:r>
            <w:bookmarkEnd w:id="93"/>
            <w:bookmarkEnd w:id="94"/>
            <w:bookmarkEnd w:id="95"/>
            <w:bookmarkEnd w:id="96"/>
            <w:bookmarkEnd w:id="97"/>
            <w:bookmarkEnd w:id="98"/>
            <w:bookmarkEnd w:id="99"/>
            <w:bookmarkEnd w:id="100"/>
            <w:bookmarkEnd w:id="101"/>
          </w:p>
        </w:tc>
        <w:tc>
          <w:tcPr>
            <w:tcW w:w="820" w:type="pct"/>
            <w:tcBorders>
              <w:top w:val="single" w:color="auto" w:sz="4" w:space="0"/>
              <w:left w:val="single" w:color="auto" w:sz="4" w:space="0"/>
              <w:bottom w:val="single" w:color="auto" w:sz="4" w:space="0"/>
              <w:right w:val="single" w:color="auto" w:sz="4" w:space="0"/>
            </w:tcBorders>
            <w:noWrap w:val="0"/>
            <w:vAlign w:val="center"/>
          </w:tcPr>
          <w:p w14:paraId="7D1965F6">
            <w:pPr>
              <w:pStyle w:val="219"/>
              <w:spacing w:line="360" w:lineRule="auto"/>
              <w:ind w:firstLine="0"/>
              <w:contextualSpacing/>
              <w:jc w:val="center"/>
              <w:rPr>
                <w:rFonts w:hint="eastAsia" w:ascii="宋体" w:hAnsi="宋体" w:eastAsia="宋体" w:cs="宋体"/>
                <w:color w:val="auto"/>
                <w:sz w:val="24"/>
                <w:szCs w:val="24"/>
                <w:highlight w:val="none"/>
              </w:rPr>
            </w:pPr>
            <w:bookmarkStart w:id="102" w:name="_Toc295404984"/>
            <w:bookmarkStart w:id="103" w:name="_Toc173211903"/>
            <w:bookmarkStart w:id="104" w:name="_Toc254970591"/>
            <w:bookmarkStart w:id="105" w:name="_Toc383699909"/>
            <w:bookmarkStart w:id="106" w:name="_Toc373333692"/>
            <w:bookmarkStart w:id="107" w:name="_Toc254970732"/>
            <w:bookmarkStart w:id="108" w:name="_Toc297193188"/>
            <w:bookmarkStart w:id="109" w:name="_Toc301781614"/>
            <w:bookmarkStart w:id="110" w:name="_Toc173066404"/>
            <w:r>
              <w:rPr>
                <w:rFonts w:hint="eastAsia" w:ascii="宋体" w:hAnsi="宋体" w:eastAsia="宋体" w:cs="宋体"/>
                <w:color w:val="auto"/>
                <w:sz w:val="24"/>
                <w:szCs w:val="24"/>
                <w:highlight w:val="none"/>
              </w:rPr>
              <w:t>偏离</w:t>
            </w:r>
            <w:bookmarkEnd w:id="102"/>
            <w:bookmarkEnd w:id="103"/>
            <w:bookmarkEnd w:id="104"/>
            <w:bookmarkEnd w:id="105"/>
            <w:bookmarkEnd w:id="106"/>
            <w:bookmarkEnd w:id="107"/>
            <w:bookmarkEnd w:id="108"/>
            <w:bookmarkEnd w:id="109"/>
            <w:bookmarkEnd w:id="110"/>
            <w:bookmarkStart w:id="111" w:name="_Toc254970592"/>
            <w:bookmarkStart w:id="112" w:name="_Toc254970733"/>
            <w:bookmarkStart w:id="113" w:name="_Toc373333693"/>
            <w:bookmarkStart w:id="114" w:name="_Toc297193189"/>
            <w:bookmarkStart w:id="115" w:name="_Toc301781615"/>
            <w:bookmarkStart w:id="116" w:name="_Toc295404985"/>
            <w:bookmarkStart w:id="117" w:name="_Toc383699910"/>
            <w:bookmarkStart w:id="118" w:name="_Toc173211904"/>
            <w:bookmarkStart w:id="119" w:name="_Toc173066405"/>
            <w:r>
              <w:rPr>
                <w:rFonts w:hint="eastAsia" w:ascii="宋体" w:hAnsi="宋体" w:eastAsia="宋体" w:cs="宋体"/>
                <w:color w:val="auto"/>
                <w:sz w:val="24"/>
                <w:szCs w:val="24"/>
                <w:highlight w:val="none"/>
              </w:rPr>
              <w:t>说明</w:t>
            </w:r>
            <w:bookmarkEnd w:id="111"/>
            <w:bookmarkEnd w:id="112"/>
            <w:bookmarkEnd w:id="113"/>
            <w:bookmarkEnd w:id="114"/>
            <w:bookmarkEnd w:id="115"/>
            <w:bookmarkEnd w:id="116"/>
            <w:bookmarkEnd w:id="117"/>
            <w:bookmarkEnd w:id="118"/>
            <w:bookmarkEnd w:id="119"/>
          </w:p>
        </w:tc>
      </w:tr>
      <w:tr w14:paraId="372ABD9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503" w:type="pct"/>
            <w:tcBorders>
              <w:top w:val="single" w:color="auto" w:sz="4" w:space="0"/>
              <w:left w:val="single" w:color="auto" w:sz="4" w:space="0"/>
              <w:bottom w:val="single" w:color="auto" w:sz="4" w:space="0"/>
              <w:right w:val="single" w:color="auto" w:sz="4" w:space="0"/>
            </w:tcBorders>
            <w:noWrap w:val="0"/>
            <w:vAlign w:val="center"/>
          </w:tcPr>
          <w:p w14:paraId="7281A222">
            <w:pPr>
              <w:pStyle w:val="219"/>
              <w:spacing w:line="360" w:lineRule="auto"/>
              <w:ind w:firstLine="0"/>
              <w:contextualSpacing/>
              <w:jc w:val="center"/>
              <w:rPr>
                <w:rFonts w:hint="eastAsia" w:ascii="宋体" w:hAnsi="宋体" w:eastAsia="宋体" w:cs="宋体"/>
                <w:color w:val="auto"/>
                <w:sz w:val="24"/>
                <w:szCs w:val="24"/>
                <w:highlight w:val="none"/>
              </w:rPr>
            </w:pPr>
            <w:bookmarkStart w:id="120" w:name="_Toc301781616"/>
            <w:bookmarkStart w:id="121" w:name="_Toc373333694"/>
            <w:bookmarkStart w:id="122" w:name="_Toc173211905"/>
            <w:bookmarkStart w:id="123" w:name="_Toc173066406"/>
            <w:bookmarkStart w:id="124" w:name="_Toc254970593"/>
            <w:bookmarkStart w:id="125" w:name="_Toc297193190"/>
            <w:bookmarkStart w:id="126" w:name="_Toc295404986"/>
            <w:bookmarkStart w:id="127" w:name="_Toc383699911"/>
            <w:bookmarkStart w:id="128" w:name="_Toc254970734"/>
            <w:r>
              <w:rPr>
                <w:rFonts w:hint="eastAsia" w:ascii="宋体" w:hAnsi="宋体" w:eastAsia="宋体" w:cs="宋体"/>
                <w:color w:val="auto"/>
                <w:sz w:val="24"/>
                <w:szCs w:val="24"/>
                <w:highlight w:val="none"/>
              </w:rPr>
              <w:t>1</w:t>
            </w:r>
            <w:bookmarkEnd w:id="120"/>
            <w:bookmarkEnd w:id="121"/>
            <w:bookmarkEnd w:id="122"/>
            <w:bookmarkEnd w:id="123"/>
            <w:bookmarkEnd w:id="124"/>
            <w:bookmarkEnd w:id="125"/>
            <w:bookmarkEnd w:id="126"/>
            <w:bookmarkEnd w:id="127"/>
            <w:bookmarkEnd w:id="128"/>
          </w:p>
        </w:tc>
        <w:tc>
          <w:tcPr>
            <w:tcW w:w="503" w:type="pct"/>
            <w:tcBorders>
              <w:top w:val="single" w:color="auto" w:sz="4" w:space="0"/>
              <w:left w:val="single" w:color="auto" w:sz="4" w:space="0"/>
              <w:bottom w:val="single" w:color="auto" w:sz="4" w:space="0"/>
              <w:right w:val="single" w:color="auto" w:sz="4" w:space="0"/>
            </w:tcBorders>
            <w:noWrap w:val="0"/>
            <w:vAlign w:val="center"/>
          </w:tcPr>
          <w:p w14:paraId="450097AA">
            <w:pPr>
              <w:pStyle w:val="219"/>
              <w:spacing w:line="360" w:lineRule="auto"/>
              <w:ind w:firstLine="0"/>
              <w:contextualSpacing/>
              <w:jc w:val="center"/>
              <w:rPr>
                <w:rFonts w:hint="eastAsia" w:ascii="宋体" w:hAnsi="宋体" w:eastAsia="宋体" w:cs="宋体"/>
                <w:color w:val="auto"/>
                <w:sz w:val="24"/>
                <w:szCs w:val="24"/>
                <w:highlight w:val="none"/>
              </w:rPr>
            </w:pPr>
          </w:p>
        </w:tc>
        <w:tc>
          <w:tcPr>
            <w:tcW w:w="1670" w:type="pct"/>
            <w:tcBorders>
              <w:top w:val="single" w:color="auto" w:sz="4" w:space="0"/>
              <w:left w:val="single" w:color="auto" w:sz="4" w:space="0"/>
              <w:bottom w:val="single" w:color="auto" w:sz="4" w:space="0"/>
              <w:right w:val="single" w:color="auto" w:sz="4" w:space="0"/>
            </w:tcBorders>
            <w:noWrap w:val="0"/>
            <w:vAlign w:val="center"/>
          </w:tcPr>
          <w:p w14:paraId="6A7F0C9F">
            <w:pPr>
              <w:pStyle w:val="219"/>
              <w:spacing w:line="360" w:lineRule="auto"/>
              <w:ind w:firstLine="0"/>
              <w:contextualSpacing/>
              <w:jc w:val="center"/>
              <w:rPr>
                <w:rFonts w:hint="eastAsia" w:ascii="宋体" w:hAnsi="宋体" w:eastAsia="宋体" w:cs="宋体"/>
                <w:color w:val="auto"/>
                <w:sz w:val="24"/>
                <w:szCs w:val="24"/>
                <w:highlight w:val="none"/>
              </w:rPr>
            </w:pPr>
          </w:p>
        </w:tc>
        <w:tc>
          <w:tcPr>
            <w:tcW w:w="1503" w:type="pct"/>
            <w:tcBorders>
              <w:top w:val="single" w:color="auto" w:sz="4" w:space="0"/>
              <w:left w:val="single" w:color="auto" w:sz="4" w:space="0"/>
              <w:bottom w:val="single" w:color="auto" w:sz="4" w:space="0"/>
              <w:right w:val="single" w:color="auto" w:sz="4" w:space="0"/>
            </w:tcBorders>
            <w:noWrap w:val="0"/>
            <w:vAlign w:val="center"/>
          </w:tcPr>
          <w:p w14:paraId="080B3DB3">
            <w:pPr>
              <w:pStyle w:val="219"/>
              <w:spacing w:line="360" w:lineRule="auto"/>
              <w:ind w:firstLine="0"/>
              <w:contextualSpacing/>
              <w:jc w:val="center"/>
              <w:rPr>
                <w:rFonts w:hint="eastAsia" w:ascii="宋体" w:hAnsi="宋体" w:eastAsia="宋体" w:cs="宋体"/>
                <w:color w:val="auto"/>
                <w:sz w:val="24"/>
                <w:szCs w:val="24"/>
                <w:highlight w:val="none"/>
              </w:rPr>
            </w:pPr>
          </w:p>
        </w:tc>
        <w:tc>
          <w:tcPr>
            <w:tcW w:w="820" w:type="pct"/>
            <w:tcBorders>
              <w:top w:val="single" w:color="auto" w:sz="4" w:space="0"/>
              <w:left w:val="single" w:color="auto" w:sz="4" w:space="0"/>
              <w:bottom w:val="single" w:color="auto" w:sz="4" w:space="0"/>
              <w:right w:val="single" w:color="auto" w:sz="4" w:space="0"/>
            </w:tcBorders>
            <w:noWrap w:val="0"/>
            <w:vAlign w:val="center"/>
          </w:tcPr>
          <w:p w14:paraId="5325093A">
            <w:pPr>
              <w:pStyle w:val="219"/>
              <w:spacing w:line="360" w:lineRule="auto"/>
              <w:ind w:firstLine="0"/>
              <w:contextualSpacing/>
              <w:jc w:val="center"/>
              <w:rPr>
                <w:rFonts w:hint="eastAsia" w:ascii="宋体" w:hAnsi="宋体" w:eastAsia="宋体" w:cs="宋体"/>
                <w:color w:val="auto"/>
                <w:sz w:val="24"/>
                <w:szCs w:val="24"/>
                <w:highlight w:val="none"/>
              </w:rPr>
            </w:pPr>
          </w:p>
        </w:tc>
      </w:tr>
      <w:tr w14:paraId="5C7AD81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503" w:type="pct"/>
            <w:tcBorders>
              <w:top w:val="single" w:color="auto" w:sz="4" w:space="0"/>
              <w:left w:val="single" w:color="auto" w:sz="4" w:space="0"/>
              <w:bottom w:val="single" w:color="auto" w:sz="4" w:space="0"/>
              <w:right w:val="single" w:color="auto" w:sz="4" w:space="0"/>
            </w:tcBorders>
            <w:noWrap w:val="0"/>
            <w:vAlign w:val="center"/>
          </w:tcPr>
          <w:p w14:paraId="4C859203">
            <w:pPr>
              <w:pStyle w:val="219"/>
              <w:spacing w:line="360" w:lineRule="auto"/>
              <w:ind w:firstLine="0"/>
              <w:contextualSpacing/>
              <w:jc w:val="center"/>
              <w:rPr>
                <w:rFonts w:hint="eastAsia" w:ascii="宋体" w:hAnsi="宋体" w:eastAsia="宋体" w:cs="宋体"/>
                <w:color w:val="auto"/>
                <w:sz w:val="24"/>
                <w:szCs w:val="24"/>
                <w:highlight w:val="none"/>
              </w:rPr>
            </w:pPr>
            <w:bookmarkStart w:id="129" w:name="_Toc373333695"/>
            <w:bookmarkStart w:id="130" w:name="_Toc295404987"/>
            <w:bookmarkStart w:id="131" w:name="_Toc173211906"/>
            <w:bookmarkStart w:id="132" w:name="_Toc254970735"/>
            <w:bookmarkStart w:id="133" w:name="_Toc297193191"/>
            <w:bookmarkStart w:id="134" w:name="_Toc254970594"/>
            <w:bookmarkStart w:id="135" w:name="_Toc173066407"/>
            <w:bookmarkStart w:id="136" w:name="_Toc383699912"/>
            <w:bookmarkStart w:id="137" w:name="_Toc301781617"/>
            <w:r>
              <w:rPr>
                <w:rFonts w:hint="eastAsia" w:ascii="宋体" w:hAnsi="宋体" w:eastAsia="宋体" w:cs="宋体"/>
                <w:color w:val="auto"/>
                <w:sz w:val="24"/>
                <w:szCs w:val="24"/>
                <w:highlight w:val="none"/>
              </w:rPr>
              <w:t>2</w:t>
            </w:r>
            <w:bookmarkEnd w:id="129"/>
            <w:bookmarkEnd w:id="130"/>
            <w:bookmarkEnd w:id="131"/>
            <w:bookmarkEnd w:id="132"/>
            <w:bookmarkEnd w:id="133"/>
            <w:bookmarkEnd w:id="134"/>
            <w:bookmarkEnd w:id="135"/>
            <w:bookmarkEnd w:id="136"/>
            <w:bookmarkEnd w:id="137"/>
          </w:p>
        </w:tc>
        <w:tc>
          <w:tcPr>
            <w:tcW w:w="503" w:type="pct"/>
            <w:tcBorders>
              <w:top w:val="single" w:color="auto" w:sz="4" w:space="0"/>
              <w:left w:val="single" w:color="auto" w:sz="4" w:space="0"/>
              <w:bottom w:val="single" w:color="auto" w:sz="4" w:space="0"/>
              <w:right w:val="single" w:color="auto" w:sz="4" w:space="0"/>
            </w:tcBorders>
            <w:noWrap w:val="0"/>
            <w:vAlign w:val="center"/>
          </w:tcPr>
          <w:p w14:paraId="1A4488A2">
            <w:pPr>
              <w:pStyle w:val="219"/>
              <w:spacing w:line="360" w:lineRule="auto"/>
              <w:ind w:firstLine="0"/>
              <w:contextualSpacing/>
              <w:jc w:val="center"/>
              <w:rPr>
                <w:rFonts w:hint="eastAsia" w:ascii="宋体" w:hAnsi="宋体" w:eastAsia="宋体" w:cs="宋体"/>
                <w:color w:val="auto"/>
                <w:sz w:val="24"/>
                <w:szCs w:val="24"/>
                <w:highlight w:val="none"/>
              </w:rPr>
            </w:pPr>
          </w:p>
        </w:tc>
        <w:tc>
          <w:tcPr>
            <w:tcW w:w="1670" w:type="pct"/>
            <w:tcBorders>
              <w:top w:val="single" w:color="auto" w:sz="4" w:space="0"/>
              <w:left w:val="single" w:color="auto" w:sz="4" w:space="0"/>
              <w:bottom w:val="single" w:color="auto" w:sz="4" w:space="0"/>
              <w:right w:val="single" w:color="auto" w:sz="4" w:space="0"/>
            </w:tcBorders>
            <w:noWrap w:val="0"/>
            <w:vAlign w:val="center"/>
          </w:tcPr>
          <w:p w14:paraId="70E1CC0D">
            <w:pPr>
              <w:pStyle w:val="219"/>
              <w:spacing w:line="360" w:lineRule="auto"/>
              <w:ind w:firstLine="0"/>
              <w:contextualSpacing/>
              <w:jc w:val="center"/>
              <w:rPr>
                <w:rFonts w:hint="eastAsia" w:ascii="宋体" w:hAnsi="宋体" w:eastAsia="宋体" w:cs="宋体"/>
                <w:color w:val="auto"/>
                <w:sz w:val="24"/>
                <w:szCs w:val="24"/>
                <w:highlight w:val="none"/>
              </w:rPr>
            </w:pPr>
          </w:p>
        </w:tc>
        <w:tc>
          <w:tcPr>
            <w:tcW w:w="1503" w:type="pct"/>
            <w:tcBorders>
              <w:top w:val="single" w:color="auto" w:sz="4" w:space="0"/>
              <w:left w:val="single" w:color="auto" w:sz="4" w:space="0"/>
              <w:bottom w:val="single" w:color="auto" w:sz="4" w:space="0"/>
              <w:right w:val="single" w:color="auto" w:sz="4" w:space="0"/>
            </w:tcBorders>
            <w:noWrap w:val="0"/>
            <w:vAlign w:val="center"/>
          </w:tcPr>
          <w:p w14:paraId="782F7D5A">
            <w:pPr>
              <w:pStyle w:val="219"/>
              <w:spacing w:line="360" w:lineRule="auto"/>
              <w:ind w:firstLine="0"/>
              <w:contextualSpacing/>
              <w:jc w:val="center"/>
              <w:rPr>
                <w:rFonts w:hint="eastAsia" w:ascii="宋体" w:hAnsi="宋体" w:eastAsia="宋体" w:cs="宋体"/>
                <w:color w:val="auto"/>
                <w:sz w:val="24"/>
                <w:szCs w:val="24"/>
                <w:highlight w:val="none"/>
              </w:rPr>
            </w:pPr>
          </w:p>
        </w:tc>
        <w:tc>
          <w:tcPr>
            <w:tcW w:w="820" w:type="pct"/>
            <w:tcBorders>
              <w:top w:val="single" w:color="auto" w:sz="4" w:space="0"/>
              <w:left w:val="single" w:color="auto" w:sz="4" w:space="0"/>
              <w:bottom w:val="single" w:color="auto" w:sz="4" w:space="0"/>
              <w:right w:val="single" w:color="auto" w:sz="4" w:space="0"/>
            </w:tcBorders>
            <w:noWrap w:val="0"/>
            <w:vAlign w:val="center"/>
          </w:tcPr>
          <w:p w14:paraId="61B637B7">
            <w:pPr>
              <w:pStyle w:val="219"/>
              <w:spacing w:line="360" w:lineRule="auto"/>
              <w:ind w:firstLine="0"/>
              <w:contextualSpacing/>
              <w:jc w:val="center"/>
              <w:rPr>
                <w:rFonts w:hint="eastAsia" w:ascii="宋体" w:hAnsi="宋体" w:eastAsia="宋体" w:cs="宋体"/>
                <w:color w:val="auto"/>
                <w:sz w:val="24"/>
                <w:szCs w:val="24"/>
                <w:highlight w:val="none"/>
              </w:rPr>
            </w:pPr>
          </w:p>
        </w:tc>
      </w:tr>
      <w:tr w14:paraId="7C4142F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503" w:type="pct"/>
            <w:tcBorders>
              <w:top w:val="single" w:color="auto" w:sz="4" w:space="0"/>
              <w:left w:val="single" w:color="auto" w:sz="4" w:space="0"/>
              <w:bottom w:val="single" w:color="auto" w:sz="4" w:space="0"/>
              <w:right w:val="single" w:color="auto" w:sz="4" w:space="0"/>
            </w:tcBorders>
            <w:noWrap w:val="0"/>
            <w:vAlign w:val="center"/>
          </w:tcPr>
          <w:p w14:paraId="4A451667">
            <w:pPr>
              <w:pStyle w:val="219"/>
              <w:spacing w:line="360" w:lineRule="auto"/>
              <w:ind w:firstLine="0"/>
              <w:contextualSpacing/>
              <w:jc w:val="center"/>
              <w:rPr>
                <w:rFonts w:hint="eastAsia" w:ascii="宋体" w:hAnsi="宋体" w:eastAsia="宋体" w:cs="宋体"/>
                <w:color w:val="auto"/>
                <w:sz w:val="24"/>
                <w:szCs w:val="24"/>
                <w:highlight w:val="none"/>
              </w:rPr>
            </w:pPr>
            <w:bookmarkStart w:id="138" w:name="_Toc383699913"/>
            <w:bookmarkStart w:id="139" w:name="_Toc173211907"/>
            <w:r>
              <w:rPr>
                <w:rFonts w:hint="eastAsia" w:ascii="宋体" w:hAnsi="宋体" w:eastAsia="宋体" w:cs="宋体"/>
                <w:color w:val="auto"/>
                <w:sz w:val="24"/>
                <w:szCs w:val="24"/>
                <w:highlight w:val="none"/>
              </w:rPr>
              <w:t>3</w:t>
            </w:r>
            <w:bookmarkEnd w:id="138"/>
            <w:bookmarkEnd w:id="139"/>
          </w:p>
        </w:tc>
        <w:tc>
          <w:tcPr>
            <w:tcW w:w="503" w:type="pct"/>
            <w:tcBorders>
              <w:top w:val="single" w:color="auto" w:sz="4" w:space="0"/>
              <w:left w:val="single" w:color="auto" w:sz="4" w:space="0"/>
              <w:bottom w:val="single" w:color="auto" w:sz="4" w:space="0"/>
              <w:right w:val="single" w:color="auto" w:sz="4" w:space="0"/>
            </w:tcBorders>
            <w:noWrap w:val="0"/>
            <w:vAlign w:val="center"/>
          </w:tcPr>
          <w:p w14:paraId="63FB48A6">
            <w:pPr>
              <w:pStyle w:val="219"/>
              <w:spacing w:line="360" w:lineRule="auto"/>
              <w:ind w:firstLine="0"/>
              <w:contextualSpacing/>
              <w:jc w:val="center"/>
              <w:rPr>
                <w:rFonts w:hint="eastAsia" w:ascii="宋体" w:hAnsi="宋体" w:eastAsia="宋体" w:cs="宋体"/>
                <w:color w:val="auto"/>
                <w:sz w:val="24"/>
                <w:szCs w:val="24"/>
                <w:highlight w:val="none"/>
              </w:rPr>
            </w:pPr>
          </w:p>
        </w:tc>
        <w:tc>
          <w:tcPr>
            <w:tcW w:w="1670" w:type="pct"/>
            <w:tcBorders>
              <w:top w:val="single" w:color="auto" w:sz="4" w:space="0"/>
              <w:left w:val="single" w:color="auto" w:sz="4" w:space="0"/>
              <w:bottom w:val="single" w:color="auto" w:sz="4" w:space="0"/>
              <w:right w:val="single" w:color="auto" w:sz="4" w:space="0"/>
            </w:tcBorders>
            <w:noWrap w:val="0"/>
            <w:vAlign w:val="center"/>
          </w:tcPr>
          <w:p w14:paraId="59FD5DFF">
            <w:pPr>
              <w:pStyle w:val="219"/>
              <w:spacing w:line="360" w:lineRule="auto"/>
              <w:ind w:firstLine="0"/>
              <w:contextualSpacing/>
              <w:jc w:val="center"/>
              <w:rPr>
                <w:rFonts w:hint="eastAsia" w:ascii="宋体" w:hAnsi="宋体" w:eastAsia="宋体" w:cs="宋体"/>
                <w:color w:val="auto"/>
                <w:sz w:val="24"/>
                <w:szCs w:val="24"/>
                <w:highlight w:val="none"/>
              </w:rPr>
            </w:pPr>
          </w:p>
        </w:tc>
        <w:tc>
          <w:tcPr>
            <w:tcW w:w="1503" w:type="pct"/>
            <w:tcBorders>
              <w:top w:val="single" w:color="auto" w:sz="4" w:space="0"/>
              <w:left w:val="single" w:color="auto" w:sz="4" w:space="0"/>
              <w:bottom w:val="single" w:color="auto" w:sz="4" w:space="0"/>
              <w:right w:val="single" w:color="auto" w:sz="4" w:space="0"/>
            </w:tcBorders>
            <w:noWrap w:val="0"/>
            <w:vAlign w:val="center"/>
          </w:tcPr>
          <w:p w14:paraId="73A9E5DD">
            <w:pPr>
              <w:pStyle w:val="219"/>
              <w:spacing w:line="360" w:lineRule="auto"/>
              <w:ind w:firstLine="0"/>
              <w:contextualSpacing/>
              <w:jc w:val="center"/>
              <w:rPr>
                <w:rFonts w:hint="eastAsia" w:ascii="宋体" w:hAnsi="宋体" w:eastAsia="宋体" w:cs="宋体"/>
                <w:color w:val="auto"/>
                <w:sz w:val="24"/>
                <w:szCs w:val="24"/>
                <w:highlight w:val="none"/>
              </w:rPr>
            </w:pPr>
          </w:p>
        </w:tc>
        <w:tc>
          <w:tcPr>
            <w:tcW w:w="820" w:type="pct"/>
            <w:tcBorders>
              <w:top w:val="single" w:color="auto" w:sz="4" w:space="0"/>
              <w:left w:val="single" w:color="auto" w:sz="4" w:space="0"/>
              <w:bottom w:val="single" w:color="auto" w:sz="4" w:space="0"/>
              <w:right w:val="single" w:color="auto" w:sz="4" w:space="0"/>
            </w:tcBorders>
            <w:noWrap w:val="0"/>
            <w:vAlign w:val="center"/>
          </w:tcPr>
          <w:p w14:paraId="289DDB83">
            <w:pPr>
              <w:pStyle w:val="219"/>
              <w:spacing w:line="360" w:lineRule="auto"/>
              <w:ind w:firstLine="0"/>
              <w:contextualSpacing/>
              <w:jc w:val="center"/>
              <w:rPr>
                <w:rFonts w:hint="eastAsia" w:ascii="宋体" w:hAnsi="宋体" w:eastAsia="宋体" w:cs="宋体"/>
                <w:color w:val="auto"/>
                <w:sz w:val="24"/>
                <w:szCs w:val="24"/>
                <w:highlight w:val="none"/>
              </w:rPr>
            </w:pPr>
          </w:p>
        </w:tc>
      </w:tr>
      <w:tr w14:paraId="468C052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503" w:type="pct"/>
            <w:tcBorders>
              <w:top w:val="single" w:color="auto" w:sz="4" w:space="0"/>
              <w:left w:val="single" w:color="auto" w:sz="4" w:space="0"/>
              <w:bottom w:val="single" w:color="auto" w:sz="4" w:space="0"/>
              <w:right w:val="single" w:color="auto" w:sz="4" w:space="0"/>
            </w:tcBorders>
            <w:noWrap w:val="0"/>
            <w:vAlign w:val="center"/>
          </w:tcPr>
          <w:p w14:paraId="20E490D4">
            <w:pPr>
              <w:pStyle w:val="219"/>
              <w:spacing w:line="360" w:lineRule="auto"/>
              <w:ind w:firstLine="0"/>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503" w:type="pct"/>
            <w:tcBorders>
              <w:top w:val="single" w:color="auto" w:sz="4" w:space="0"/>
              <w:left w:val="single" w:color="auto" w:sz="4" w:space="0"/>
              <w:bottom w:val="single" w:color="auto" w:sz="4" w:space="0"/>
              <w:right w:val="single" w:color="auto" w:sz="4" w:space="0"/>
            </w:tcBorders>
            <w:noWrap w:val="0"/>
            <w:vAlign w:val="center"/>
          </w:tcPr>
          <w:p w14:paraId="54034ED4">
            <w:pPr>
              <w:pStyle w:val="219"/>
              <w:spacing w:line="360" w:lineRule="auto"/>
              <w:ind w:firstLine="0"/>
              <w:contextualSpacing/>
              <w:jc w:val="center"/>
              <w:rPr>
                <w:rFonts w:hint="eastAsia" w:ascii="宋体" w:hAnsi="宋体" w:eastAsia="宋体" w:cs="宋体"/>
                <w:color w:val="auto"/>
                <w:sz w:val="24"/>
                <w:szCs w:val="24"/>
                <w:highlight w:val="none"/>
              </w:rPr>
            </w:pPr>
          </w:p>
        </w:tc>
        <w:tc>
          <w:tcPr>
            <w:tcW w:w="1670" w:type="pct"/>
            <w:tcBorders>
              <w:top w:val="single" w:color="auto" w:sz="4" w:space="0"/>
              <w:left w:val="single" w:color="auto" w:sz="4" w:space="0"/>
              <w:bottom w:val="single" w:color="auto" w:sz="4" w:space="0"/>
              <w:right w:val="single" w:color="auto" w:sz="4" w:space="0"/>
            </w:tcBorders>
            <w:noWrap w:val="0"/>
            <w:vAlign w:val="center"/>
          </w:tcPr>
          <w:p w14:paraId="73C63FCC">
            <w:pPr>
              <w:pStyle w:val="219"/>
              <w:spacing w:line="360" w:lineRule="auto"/>
              <w:ind w:firstLine="0"/>
              <w:contextualSpacing/>
              <w:jc w:val="center"/>
              <w:rPr>
                <w:rFonts w:hint="eastAsia" w:ascii="宋体" w:hAnsi="宋体" w:eastAsia="宋体" w:cs="宋体"/>
                <w:color w:val="auto"/>
                <w:sz w:val="24"/>
                <w:szCs w:val="24"/>
                <w:highlight w:val="none"/>
              </w:rPr>
            </w:pPr>
          </w:p>
        </w:tc>
        <w:tc>
          <w:tcPr>
            <w:tcW w:w="1503" w:type="pct"/>
            <w:tcBorders>
              <w:top w:val="single" w:color="auto" w:sz="4" w:space="0"/>
              <w:left w:val="single" w:color="auto" w:sz="4" w:space="0"/>
              <w:bottom w:val="single" w:color="auto" w:sz="4" w:space="0"/>
              <w:right w:val="single" w:color="auto" w:sz="4" w:space="0"/>
            </w:tcBorders>
            <w:noWrap w:val="0"/>
            <w:vAlign w:val="center"/>
          </w:tcPr>
          <w:p w14:paraId="633605BB">
            <w:pPr>
              <w:pStyle w:val="219"/>
              <w:spacing w:line="360" w:lineRule="auto"/>
              <w:ind w:firstLine="0"/>
              <w:contextualSpacing/>
              <w:jc w:val="center"/>
              <w:rPr>
                <w:rFonts w:hint="eastAsia" w:ascii="宋体" w:hAnsi="宋体" w:eastAsia="宋体" w:cs="宋体"/>
                <w:color w:val="auto"/>
                <w:sz w:val="24"/>
                <w:szCs w:val="24"/>
                <w:highlight w:val="none"/>
              </w:rPr>
            </w:pPr>
          </w:p>
        </w:tc>
        <w:tc>
          <w:tcPr>
            <w:tcW w:w="820" w:type="pct"/>
            <w:tcBorders>
              <w:top w:val="single" w:color="auto" w:sz="4" w:space="0"/>
              <w:left w:val="single" w:color="auto" w:sz="4" w:space="0"/>
              <w:bottom w:val="single" w:color="auto" w:sz="4" w:space="0"/>
              <w:right w:val="single" w:color="auto" w:sz="4" w:space="0"/>
            </w:tcBorders>
            <w:noWrap w:val="0"/>
            <w:vAlign w:val="center"/>
          </w:tcPr>
          <w:p w14:paraId="22DBAD03">
            <w:pPr>
              <w:pStyle w:val="219"/>
              <w:spacing w:line="360" w:lineRule="auto"/>
              <w:ind w:firstLine="0"/>
              <w:contextualSpacing/>
              <w:jc w:val="center"/>
              <w:rPr>
                <w:rFonts w:hint="eastAsia" w:ascii="宋体" w:hAnsi="宋体" w:eastAsia="宋体" w:cs="宋体"/>
                <w:color w:val="auto"/>
                <w:sz w:val="24"/>
                <w:szCs w:val="24"/>
                <w:highlight w:val="none"/>
              </w:rPr>
            </w:pPr>
          </w:p>
        </w:tc>
      </w:tr>
      <w:tr w14:paraId="2D87108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503" w:type="pct"/>
            <w:tcBorders>
              <w:top w:val="single" w:color="auto" w:sz="4" w:space="0"/>
              <w:left w:val="single" w:color="auto" w:sz="4" w:space="0"/>
              <w:bottom w:val="single" w:color="auto" w:sz="4" w:space="0"/>
              <w:right w:val="single" w:color="auto" w:sz="4" w:space="0"/>
            </w:tcBorders>
            <w:noWrap w:val="0"/>
            <w:vAlign w:val="center"/>
          </w:tcPr>
          <w:p w14:paraId="279E826E">
            <w:pPr>
              <w:pStyle w:val="219"/>
              <w:spacing w:line="360" w:lineRule="auto"/>
              <w:ind w:firstLine="0"/>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503" w:type="pct"/>
            <w:tcBorders>
              <w:top w:val="single" w:color="auto" w:sz="4" w:space="0"/>
              <w:left w:val="single" w:color="auto" w:sz="4" w:space="0"/>
              <w:bottom w:val="single" w:color="auto" w:sz="4" w:space="0"/>
              <w:right w:val="single" w:color="auto" w:sz="4" w:space="0"/>
            </w:tcBorders>
            <w:noWrap w:val="0"/>
            <w:vAlign w:val="center"/>
          </w:tcPr>
          <w:p w14:paraId="35B54608">
            <w:pPr>
              <w:pStyle w:val="219"/>
              <w:spacing w:line="360" w:lineRule="auto"/>
              <w:ind w:firstLine="0"/>
              <w:contextualSpacing/>
              <w:jc w:val="center"/>
              <w:rPr>
                <w:rFonts w:hint="eastAsia" w:ascii="宋体" w:hAnsi="宋体" w:eastAsia="宋体" w:cs="宋体"/>
                <w:color w:val="auto"/>
                <w:sz w:val="24"/>
                <w:szCs w:val="24"/>
                <w:highlight w:val="none"/>
              </w:rPr>
            </w:pPr>
          </w:p>
        </w:tc>
        <w:tc>
          <w:tcPr>
            <w:tcW w:w="1670" w:type="pct"/>
            <w:tcBorders>
              <w:top w:val="single" w:color="auto" w:sz="4" w:space="0"/>
              <w:left w:val="single" w:color="auto" w:sz="4" w:space="0"/>
              <w:bottom w:val="single" w:color="auto" w:sz="4" w:space="0"/>
              <w:right w:val="single" w:color="auto" w:sz="4" w:space="0"/>
            </w:tcBorders>
            <w:noWrap w:val="0"/>
            <w:vAlign w:val="center"/>
          </w:tcPr>
          <w:p w14:paraId="5FB4F2AE">
            <w:pPr>
              <w:pStyle w:val="219"/>
              <w:spacing w:line="360" w:lineRule="auto"/>
              <w:ind w:firstLine="0"/>
              <w:contextualSpacing/>
              <w:jc w:val="center"/>
              <w:rPr>
                <w:rFonts w:hint="eastAsia" w:ascii="宋体" w:hAnsi="宋体" w:eastAsia="宋体" w:cs="宋体"/>
                <w:color w:val="auto"/>
                <w:sz w:val="24"/>
                <w:szCs w:val="24"/>
                <w:highlight w:val="none"/>
              </w:rPr>
            </w:pPr>
          </w:p>
        </w:tc>
        <w:tc>
          <w:tcPr>
            <w:tcW w:w="1503" w:type="pct"/>
            <w:tcBorders>
              <w:top w:val="single" w:color="auto" w:sz="4" w:space="0"/>
              <w:left w:val="single" w:color="auto" w:sz="4" w:space="0"/>
              <w:bottom w:val="single" w:color="auto" w:sz="4" w:space="0"/>
              <w:right w:val="single" w:color="auto" w:sz="4" w:space="0"/>
            </w:tcBorders>
            <w:noWrap w:val="0"/>
            <w:vAlign w:val="center"/>
          </w:tcPr>
          <w:p w14:paraId="34E2131B">
            <w:pPr>
              <w:pStyle w:val="219"/>
              <w:spacing w:line="360" w:lineRule="auto"/>
              <w:ind w:firstLine="0"/>
              <w:contextualSpacing/>
              <w:jc w:val="center"/>
              <w:rPr>
                <w:rFonts w:hint="eastAsia" w:ascii="宋体" w:hAnsi="宋体" w:eastAsia="宋体" w:cs="宋体"/>
                <w:color w:val="auto"/>
                <w:sz w:val="24"/>
                <w:szCs w:val="24"/>
                <w:highlight w:val="none"/>
              </w:rPr>
            </w:pPr>
          </w:p>
        </w:tc>
        <w:tc>
          <w:tcPr>
            <w:tcW w:w="820" w:type="pct"/>
            <w:tcBorders>
              <w:top w:val="single" w:color="auto" w:sz="4" w:space="0"/>
              <w:left w:val="single" w:color="auto" w:sz="4" w:space="0"/>
              <w:bottom w:val="single" w:color="auto" w:sz="4" w:space="0"/>
              <w:right w:val="single" w:color="auto" w:sz="4" w:space="0"/>
            </w:tcBorders>
            <w:noWrap w:val="0"/>
            <w:vAlign w:val="center"/>
          </w:tcPr>
          <w:p w14:paraId="2868B732">
            <w:pPr>
              <w:pStyle w:val="219"/>
              <w:spacing w:line="360" w:lineRule="auto"/>
              <w:ind w:firstLine="0"/>
              <w:contextualSpacing/>
              <w:jc w:val="center"/>
              <w:rPr>
                <w:rFonts w:hint="eastAsia" w:ascii="宋体" w:hAnsi="宋体" w:eastAsia="宋体" w:cs="宋体"/>
                <w:color w:val="auto"/>
                <w:sz w:val="24"/>
                <w:szCs w:val="24"/>
                <w:highlight w:val="none"/>
              </w:rPr>
            </w:pPr>
          </w:p>
        </w:tc>
      </w:tr>
      <w:tr w14:paraId="7F0458F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503" w:type="pct"/>
            <w:tcBorders>
              <w:top w:val="single" w:color="auto" w:sz="4" w:space="0"/>
              <w:left w:val="single" w:color="auto" w:sz="4" w:space="0"/>
              <w:bottom w:val="single" w:color="auto" w:sz="4" w:space="0"/>
              <w:right w:val="single" w:color="auto" w:sz="4" w:space="0"/>
            </w:tcBorders>
            <w:noWrap w:val="0"/>
            <w:vAlign w:val="center"/>
          </w:tcPr>
          <w:p w14:paraId="53B182EC">
            <w:pPr>
              <w:pStyle w:val="219"/>
              <w:spacing w:line="360" w:lineRule="auto"/>
              <w:ind w:firstLine="0"/>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503" w:type="pct"/>
            <w:tcBorders>
              <w:top w:val="single" w:color="auto" w:sz="4" w:space="0"/>
              <w:left w:val="single" w:color="auto" w:sz="4" w:space="0"/>
              <w:bottom w:val="single" w:color="auto" w:sz="4" w:space="0"/>
              <w:right w:val="single" w:color="auto" w:sz="4" w:space="0"/>
            </w:tcBorders>
            <w:noWrap w:val="0"/>
            <w:vAlign w:val="center"/>
          </w:tcPr>
          <w:p w14:paraId="536B22C8">
            <w:pPr>
              <w:pStyle w:val="219"/>
              <w:spacing w:line="360" w:lineRule="auto"/>
              <w:ind w:firstLine="0"/>
              <w:contextualSpacing/>
              <w:jc w:val="center"/>
              <w:rPr>
                <w:rFonts w:hint="eastAsia" w:ascii="宋体" w:hAnsi="宋体" w:eastAsia="宋体" w:cs="宋体"/>
                <w:color w:val="auto"/>
                <w:sz w:val="24"/>
                <w:szCs w:val="24"/>
                <w:highlight w:val="none"/>
              </w:rPr>
            </w:pPr>
          </w:p>
        </w:tc>
        <w:tc>
          <w:tcPr>
            <w:tcW w:w="1670" w:type="pct"/>
            <w:tcBorders>
              <w:top w:val="single" w:color="auto" w:sz="4" w:space="0"/>
              <w:left w:val="single" w:color="auto" w:sz="4" w:space="0"/>
              <w:bottom w:val="single" w:color="auto" w:sz="4" w:space="0"/>
              <w:right w:val="single" w:color="auto" w:sz="4" w:space="0"/>
            </w:tcBorders>
            <w:noWrap w:val="0"/>
            <w:vAlign w:val="center"/>
          </w:tcPr>
          <w:p w14:paraId="7DBDC175">
            <w:pPr>
              <w:pStyle w:val="219"/>
              <w:spacing w:line="360" w:lineRule="auto"/>
              <w:ind w:firstLine="0"/>
              <w:contextualSpacing/>
              <w:jc w:val="center"/>
              <w:rPr>
                <w:rFonts w:hint="eastAsia" w:ascii="宋体" w:hAnsi="宋体" w:eastAsia="宋体" w:cs="宋体"/>
                <w:color w:val="auto"/>
                <w:sz w:val="24"/>
                <w:szCs w:val="24"/>
                <w:highlight w:val="none"/>
              </w:rPr>
            </w:pPr>
          </w:p>
        </w:tc>
        <w:tc>
          <w:tcPr>
            <w:tcW w:w="1503" w:type="pct"/>
            <w:tcBorders>
              <w:top w:val="single" w:color="auto" w:sz="4" w:space="0"/>
              <w:left w:val="single" w:color="auto" w:sz="4" w:space="0"/>
              <w:bottom w:val="single" w:color="auto" w:sz="4" w:space="0"/>
              <w:right w:val="single" w:color="auto" w:sz="4" w:space="0"/>
            </w:tcBorders>
            <w:noWrap w:val="0"/>
            <w:vAlign w:val="center"/>
          </w:tcPr>
          <w:p w14:paraId="7B1BD41B">
            <w:pPr>
              <w:pStyle w:val="219"/>
              <w:spacing w:line="360" w:lineRule="auto"/>
              <w:ind w:firstLine="0"/>
              <w:contextualSpacing/>
              <w:jc w:val="center"/>
              <w:rPr>
                <w:rFonts w:hint="eastAsia" w:ascii="宋体" w:hAnsi="宋体" w:eastAsia="宋体" w:cs="宋体"/>
                <w:color w:val="auto"/>
                <w:sz w:val="24"/>
                <w:szCs w:val="24"/>
                <w:highlight w:val="none"/>
              </w:rPr>
            </w:pPr>
          </w:p>
        </w:tc>
        <w:tc>
          <w:tcPr>
            <w:tcW w:w="820" w:type="pct"/>
            <w:tcBorders>
              <w:top w:val="single" w:color="auto" w:sz="4" w:space="0"/>
              <w:left w:val="single" w:color="auto" w:sz="4" w:space="0"/>
              <w:bottom w:val="single" w:color="auto" w:sz="4" w:space="0"/>
              <w:right w:val="single" w:color="auto" w:sz="4" w:space="0"/>
            </w:tcBorders>
            <w:noWrap w:val="0"/>
            <w:vAlign w:val="center"/>
          </w:tcPr>
          <w:p w14:paraId="30D06010">
            <w:pPr>
              <w:pStyle w:val="219"/>
              <w:spacing w:line="360" w:lineRule="auto"/>
              <w:ind w:firstLine="0"/>
              <w:contextualSpacing/>
              <w:jc w:val="center"/>
              <w:rPr>
                <w:rFonts w:hint="eastAsia" w:ascii="宋体" w:hAnsi="宋体" w:eastAsia="宋体" w:cs="宋体"/>
                <w:color w:val="auto"/>
                <w:sz w:val="24"/>
                <w:szCs w:val="24"/>
                <w:highlight w:val="none"/>
              </w:rPr>
            </w:pPr>
          </w:p>
        </w:tc>
      </w:tr>
    </w:tbl>
    <w:p w14:paraId="0B6B8059">
      <w:pPr>
        <w:spacing w:line="360" w:lineRule="auto"/>
        <w:contextualSpacing/>
        <w:rPr>
          <w:rFonts w:hint="eastAsia" w:ascii="宋体" w:hAnsi="宋体" w:eastAsia="宋体" w:cs="宋体"/>
          <w:color w:val="auto"/>
          <w:sz w:val="24"/>
          <w:highlight w:val="none"/>
        </w:rPr>
      </w:pPr>
    </w:p>
    <w:p w14:paraId="18BE3B23">
      <w:pPr>
        <w:pStyle w:val="219"/>
        <w:spacing w:line="360" w:lineRule="auto"/>
        <w:ind w:firstLine="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20B2129C">
      <w:pPr>
        <w:pStyle w:val="219"/>
        <w:spacing w:line="360" w:lineRule="auto"/>
        <w:ind w:firstLine="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说明：应对照磋商文件“第三章 采购需求”中的</w:t>
      </w:r>
      <w:r>
        <w:rPr>
          <w:rFonts w:hint="eastAsia" w:ascii="宋体" w:hAnsi="宋体" w:eastAsia="宋体" w:cs="宋体"/>
          <w:color w:val="auto"/>
          <w:sz w:val="24"/>
          <w:szCs w:val="24"/>
          <w:highlight w:val="none"/>
          <w:lang w:eastAsia="zh-CN"/>
        </w:rPr>
        <w:t>技术（服务）要求</w:t>
      </w:r>
      <w:r>
        <w:rPr>
          <w:rFonts w:hint="eastAsia" w:ascii="宋体" w:hAnsi="宋体" w:eastAsia="宋体" w:cs="宋体"/>
          <w:color w:val="auto"/>
          <w:sz w:val="24"/>
          <w:szCs w:val="24"/>
          <w:highlight w:val="none"/>
        </w:rPr>
        <w:t>逐条作出明确响应，并作出偏离说明。</w:t>
      </w:r>
    </w:p>
    <w:p w14:paraId="6760E3A0">
      <w:pPr>
        <w:pStyle w:val="219"/>
        <w:spacing w:line="360" w:lineRule="auto"/>
        <w:ind w:firstLine="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2.供应商应根据自身的承诺，对照磋商文件要求，在“偏离说明”中注明“正偏离”、“负偏离”或者“无偏离”。既不属于“正偏离”也不属于“负偏离”即为“无偏离”。</w:t>
      </w:r>
    </w:p>
    <w:p w14:paraId="014D0622">
      <w:pPr>
        <w:spacing w:line="360" w:lineRule="auto"/>
        <w:ind w:right="-817"/>
        <w:contextualSpacing/>
        <w:rPr>
          <w:rFonts w:hint="eastAsia" w:ascii="宋体" w:hAnsi="宋体" w:eastAsia="宋体" w:cs="宋体"/>
          <w:color w:val="auto"/>
          <w:sz w:val="24"/>
          <w:highlight w:val="none"/>
        </w:rPr>
      </w:pPr>
    </w:p>
    <w:p w14:paraId="05F720F9">
      <w:pPr>
        <w:spacing w:line="360" w:lineRule="auto"/>
        <w:ind w:right="-817"/>
        <w:contextualSpacing/>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法定代表人或者委托代理人（签字）：</w:t>
      </w:r>
    </w:p>
    <w:p w14:paraId="2D1A73D4">
      <w:pPr>
        <w:spacing w:line="360" w:lineRule="auto"/>
        <w:ind w:right="-817" w:firstLine="264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供应商（公章）：      </w:t>
      </w:r>
    </w:p>
    <w:p w14:paraId="069E1898">
      <w:pPr>
        <w:spacing w:line="360" w:lineRule="auto"/>
        <w:ind w:right="-817" w:firstLine="40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p w14:paraId="53498DEF">
      <w:pPr>
        <w:spacing w:before="156" w:after="50"/>
        <w:ind w:left="142"/>
        <w:jc w:val="left"/>
        <w:rPr>
          <w:rFonts w:hint="eastAsia" w:ascii="宋体" w:hAnsi="宋体" w:eastAsia="宋体" w:cs="宋体"/>
          <w:b/>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color w:val="auto"/>
          <w:sz w:val="24"/>
          <w:highlight w:val="none"/>
        </w:rPr>
        <w:t>项目实施人员一览表格式</w:t>
      </w:r>
    </w:p>
    <w:p w14:paraId="36B3D21B">
      <w:pPr>
        <w:spacing w:before="156" w:after="50"/>
        <w:ind w:left="142"/>
        <w:jc w:val="left"/>
        <w:rPr>
          <w:rFonts w:hint="eastAsia" w:ascii="宋体" w:hAnsi="宋体" w:eastAsia="宋体" w:cs="宋体"/>
          <w:b/>
          <w:color w:val="auto"/>
          <w:sz w:val="24"/>
          <w:highlight w:val="none"/>
        </w:rPr>
      </w:pPr>
    </w:p>
    <w:p w14:paraId="10696D42">
      <w:pPr>
        <w:spacing w:line="360" w:lineRule="auto"/>
        <w:ind w:left="142"/>
        <w:contextualSpacing/>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项目实施人员一览表</w:t>
      </w:r>
    </w:p>
    <w:p w14:paraId="61EBE89D">
      <w:pPr>
        <w:pStyle w:val="45"/>
        <w:spacing w:line="360" w:lineRule="auto"/>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所竞分标：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分标</w:t>
      </w:r>
    </w:p>
    <w:tbl>
      <w:tblPr>
        <w:tblStyle w:val="35"/>
        <w:tblW w:w="0" w:type="auto"/>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7"/>
        <w:gridCol w:w="957"/>
        <w:gridCol w:w="3223"/>
        <w:gridCol w:w="3175"/>
      </w:tblGrid>
      <w:tr w14:paraId="6B117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7" w:type="dxa"/>
            <w:tcBorders>
              <w:top w:val="single" w:color="auto" w:sz="4" w:space="0"/>
              <w:left w:val="single" w:color="auto" w:sz="4" w:space="0"/>
              <w:bottom w:val="single" w:color="auto" w:sz="4" w:space="0"/>
              <w:right w:val="single" w:color="auto" w:sz="4" w:space="0"/>
            </w:tcBorders>
            <w:noWrap w:val="0"/>
            <w:vAlign w:val="center"/>
          </w:tcPr>
          <w:p w14:paraId="3F996A1F">
            <w:pPr>
              <w:spacing w:line="360" w:lineRule="auto"/>
              <w:contextualSpacing/>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姓名</w:t>
            </w:r>
          </w:p>
        </w:tc>
        <w:tc>
          <w:tcPr>
            <w:tcW w:w="957" w:type="dxa"/>
            <w:tcBorders>
              <w:top w:val="single" w:color="auto" w:sz="4" w:space="0"/>
              <w:left w:val="single" w:color="auto" w:sz="4" w:space="0"/>
              <w:bottom w:val="single" w:color="auto" w:sz="4" w:space="0"/>
              <w:right w:val="single" w:color="auto" w:sz="4" w:space="0"/>
            </w:tcBorders>
            <w:noWrap w:val="0"/>
            <w:vAlign w:val="center"/>
          </w:tcPr>
          <w:p w14:paraId="529FA661">
            <w:pPr>
              <w:spacing w:line="360" w:lineRule="auto"/>
              <w:contextualSpacing/>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职务</w:t>
            </w:r>
          </w:p>
        </w:tc>
        <w:tc>
          <w:tcPr>
            <w:tcW w:w="3223" w:type="dxa"/>
            <w:tcBorders>
              <w:top w:val="single" w:color="auto" w:sz="4" w:space="0"/>
              <w:left w:val="single" w:color="auto" w:sz="4" w:space="0"/>
              <w:bottom w:val="single" w:color="auto" w:sz="4" w:space="0"/>
              <w:right w:val="single" w:color="auto" w:sz="4" w:space="0"/>
            </w:tcBorders>
            <w:noWrap w:val="0"/>
            <w:vAlign w:val="center"/>
          </w:tcPr>
          <w:p w14:paraId="506A7EFB">
            <w:pPr>
              <w:spacing w:line="360" w:lineRule="auto"/>
              <w:contextualSpacing/>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专业技术资格（职称）或者职业资格或者执业资格证或者其他证书</w:t>
            </w:r>
          </w:p>
        </w:tc>
        <w:tc>
          <w:tcPr>
            <w:tcW w:w="3175" w:type="dxa"/>
            <w:tcBorders>
              <w:top w:val="single" w:color="auto" w:sz="4" w:space="0"/>
              <w:left w:val="single" w:color="auto" w:sz="4" w:space="0"/>
              <w:bottom w:val="single" w:color="auto" w:sz="4" w:space="0"/>
              <w:right w:val="single" w:color="auto" w:sz="4" w:space="0"/>
            </w:tcBorders>
            <w:noWrap w:val="0"/>
            <w:vAlign w:val="center"/>
          </w:tcPr>
          <w:p w14:paraId="64EC002B">
            <w:pPr>
              <w:spacing w:line="360" w:lineRule="auto"/>
              <w:contextualSpacing/>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证书编号</w:t>
            </w:r>
          </w:p>
        </w:tc>
      </w:tr>
      <w:tr w14:paraId="2B6DA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1157" w:type="dxa"/>
            <w:tcBorders>
              <w:top w:val="single" w:color="auto" w:sz="4" w:space="0"/>
              <w:left w:val="single" w:color="auto" w:sz="4" w:space="0"/>
              <w:bottom w:val="single" w:color="auto" w:sz="4" w:space="0"/>
              <w:right w:val="single" w:color="auto" w:sz="4" w:space="0"/>
            </w:tcBorders>
            <w:noWrap w:val="0"/>
            <w:vAlign w:val="center"/>
          </w:tcPr>
          <w:p w14:paraId="395FB7F8">
            <w:pPr>
              <w:spacing w:line="360" w:lineRule="auto"/>
              <w:contextualSpacing/>
              <w:jc w:val="center"/>
              <w:rPr>
                <w:rFonts w:hint="eastAsia" w:ascii="宋体" w:hAnsi="宋体" w:eastAsia="宋体" w:cs="宋体"/>
                <w:color w:val="auto"/>
                <w:sz w:val="24"/>
                <w:szCs w:val="20"/>
                <w:highlight w:val="none"/>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2F447D12">
            <w:pPr>
              <w:spacing w:line="360" w:lineRule="auto"/>
              <w:contextualSpacing/>
              <w:jc w:val="center"/>
              <w:rPr>
                <w:rFonts w:hint="eastAsia" w:ascii="宋体" w:hAnsi="宋体" w:eastAsia="宋体" w:cs="宋体"/>
                <w:color w:val="auto"/>
                <w:sz w:val="24"/>
                <w:szCs w:val="20"/>
                <w:highlight w:val="none"/>
              </w:rPr>
            </w:pPr>
          </w:p>
        </w:tc>
        <w:tc>
          <w:tcPr>
            <w:tcW w:w="3223" w:type="dxa"/>
            <w:tcBorders>
              <w:top w:val="single" w:color="auto" w:sz="4" w:space="0"/>
              <w:left w:val="single" w:color="auto" w:sz="4" w:space="0"/>
              <w:bottom w:val="single" w:color="auto" w:sz="4" w:space="0"/>
              <w:right w:val="single" w:color="auto" w:sz="4" w:space="0"/>
            </w:tcBorders>
            <w:noWrap w:val="0"/>
            <w:vAlign w:val="center"/>
          </w:tcPr>
          <w:p w14:paraId="0D7DEA97">
            <w:pPr>
              <w:spacing w:line="360" w:lineRule="auto"/>
              <w:contextualSpacing/>
              <w:jc w:val="center"/>
              <w:rPr>
                <w:rFonts w:hint="eastAsia" w:ascii="宋体" w:hAnsi="宋体" w:eastAsia="宋体" w:cs="宋体"/>
                <w:color w:val="auto"/>
                <w:sz w:val="24"/>
                <w:szCs w:val="20"/>
                <w:highlight w:val="none"/>
              </w:rPr>
            </w:pPr>
          </w:p>
        </w:tc>
        <w:tc>
          <w:tcPr>
            <w:tcW w:w="3175" w:type="dxa"/>
            <w:tcBorders>
              <w:top w:val="single" w:color="auto" w:sz="4" w:space="0"/>
              <w:left w:val="single" w:color="auto" w:sz="4" w:space="0"/>
              <w:bottom w:val="single" w:color="auto" w:sz="4" w:space="0"/>
              <w:right w:val="single" w:color="auto" w:sz="4" w:space="0"/>
            </w:tcBorders>
            <w:noWrap w:val="0"/>
            <w:vAlign w:val="center"/>
          </w:tcPr>
          <w:p w14:paraId="21EE5D18">
            <w:pPr>
              <w:spacing w:line="360" w:lineRule="auto"/>
              <w:contextualSpacing/>
              <w:jc w:val="center"/>
              <w:rPr>
                <w:rFonts w:hint="eastAsia" w:ascii="宋体" w:hAnsi="宋体" w:eastAsia="宋体" w:cs="宋体"/>
                <w:color w:val="auto"/>
                <w:sz w:val="24"/>
                <w:szCs w:val="20"/>
                <w:highlight w:val="none"/>
              </w:rPr>
            </w:pPr>
          </w:p>
        </w:tc>
      </w:tr>
      <w:tr w14:paraId="7ED30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1157" w:type="dxa"/>
            <w:tcBorders>
              <w:top w:val="single" w:color="auto" w:sz="4" w:space="0"/>
              <w:left w:val="single" w:color="auto" w:sz="4" w:space="0"/>
              <w:bottom w:val="single" w:color="auto" w:sz="4" w:space="0"/>
              <w:right w:val="single" w:color="auto" w:sz="4" w:space="0"/>
            </w:tcBorders>
            <w:noWrap w:val="0"/>
            <w:vAlign w:val="center"/>
          </w:tcPr>
          <w:p w14:paraId="2BA3EA6C">
            <w:pPr>
              <w:spacing w:line="360" w:lineRule="auto"/>
              <w:contextualSpacing/>
              <w:jc w:val="center"/>
              <w:rPr>
                <w:rFonts w:hint="eastAsia" w:ascii="宋体" w:hAnsi="宋体" w:eastAsia="宋体" w:cs="宋体"/>
                <w:color w:val="auto"/>
                <w:sz w:val="24"/>
                <w:szCs w:val="20"/>
                <w:highlight w:val="none"/>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6227B1E0">
            <w:pPr>
              <w:spacing w:line="360" w:lineRule="auto"/>
              <w:contextualSpacing/>
              <w:jc w:val="center"/>
              <w:rPr>
                <w:rFonts w:hint="eastAsia" w:ascii="宋体" w:hAnsi="宋体" w:eastAsia="宋体" w:cs="宋体"/>
                <w:color w:val="auto"/>
                <w:sz w:val="24"/>
                <w:szCs w:val="20"/>
                <w:highlight w:val="none"/>
              </w:rPr>
            </w:pPr>
          </w:p>
        </w:tc>
        <w:tc>
          <w:tcPr>
            <w:tcW w:w="3223" w:type="dxa"/>
            <w:tcBorders>
              <w:top w:val="single" w:color="auto" w:sz="4" w:space="0"/>
              <w:left w:val="single" w:color="auto" w:sz="4" w:space="0"/>
              <w:bottom w:val="single" w:color="auto" w:sz="4" w:space="0"/>
              <w:right w:val="single" w:color="auto" w:sz="4" w:space="0"/>
            </w:tcBorders>
            <w:noWrap w:val="0"/>
            <w:vAlign w:val="center"/>
          </w:tcPr>
          <w:p w14:paraId="7DAA4313">
            <w:pPr>
              <w:spacing w:line="360" w:lineRule="auto"/>
              <w:contextualSpacing/>
              <w:jc w:val="center"/>
              <w:rPr>
                <w:rFonts w:hint="eastAsia" w:ascii="宋体" w:hAnsi="宋体" w:eastAsia="宋体" w:cs="宋体"/>
                <w:color w:val="auto"/>
                <w:sz w:val="24"/>
                <w:szCs w:val="20"/>
                <w:highlight w:val="none"/>
              </w:rPr>
            </w:pPr>
          </w:p>
        </w:tc>
        <w:tc>
          <w:tcPr>
            <w:tcW w:w="3175" w:type="dxa"/>
            <w:tcBorders>
              <w:top w:val="single" w:color="auto" w:sz="4" w:space="0"/>
              <w:left w:val="single" w:color="auto" w:sz="4" w:space="0"/>
              <w:bottom w:val="single" w:color="auto" w:sz="4" w:space="0"/>
              <w:right w:val="single" w:color="auto" w:sz="4" w:space="0"/>
            </w:tcBorders>
            <w:noWrap w:val="0"/>
            <w:vAlign w:val="center"/>
          </w:tcPr>
          <w:p w14:paraId="20883B86">
            <w:pPr>
              <w:spacing w:line="360" w:lineRule="auto"/>
              <w:contextualSpacing/>
              <w:jc w:val="center"/>
              <w:rPr>
                <w:rFonts w:hint="eastAsia" w:ascii="宋体" w:hAnsi="宋体" w:eastAsia="宋体" w:cs="宋体"/>
                <w:color w:val="auto"/>
                <w:sz w:val="24"/>
                <w:szCs w:val="20"/>
                <w:highlight w:val="none"/>
              </w:rPr>
            </w:pPr>
          </w:p>
        </w:tc>
      </w:tr>
      <w:tr w14:paraId="0B782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1157" w:type="dxa"/>
            <w:tcBorders>
              <w:top w:val="single" w:color="auto" w:sz="4" w:space="0"/>
              <w:left w:val="single" w:color="auto" w:sz="4" w:space="0"/>
              <w:bottom w:val="single" w:color="auto" w:sz="4" w:space="0"/>
              <w:right w:val="single" w:color="auto" w:sz="4" w:space="0"/>
            </w:tcBorders>
            <w:noWrap w:val="0"/>
            <w:vAlign w:val="center"/>
          </w:tcPr>
          <w:p w14:paraId="12F42758">
            <w:pPr>
              <w:spacing w:line="360" w:lineRule="auto"/>
              <w:contextualSpacing/>
              <w:jc w:val="center"/>
              <w:rPr>
                <w:rFonts w:hint="eastAsia" w:ascii="宋体" w:hAnsi="宋体" w:eastAsia="宋体" w:cs="宋体"/>
                <w:color w:val="auto"/>
                <w:sz w:val="24"/>
                <w:szCs w:val="20"/>
                <w:highlight w:val="none"/>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4554D882">
            <w:pPr>
              <w:spacing w:line="360" w:lineRule="auto"/>
              <w:contextualSpacing/>
              <w:jc w:val="center"/>
              <w:rPr>
                <w:rFonts w:hint="eastAsia" w:ascii="宋体" w:hAnsi="宋体" w:eastAsia="宋体" w:cs="宋体"/>
                <w:color w:val="auto"/>
                <w:sz w:val="24"/>
                <w:szCs w:val="20"/>
                <w:highlight w:val="none"/>
              </w:rPr>
            </w:pPr>
          </w:p>
        </w:tc>
        <w:tc>
          <w:tcPr>
            <w:tcW w:w="3223" w:type="dxa"/>
            <w:tcBorders>
              <w:top w:val="single" w:color="auto" w:sz="4" w:space="0"/>
              <w:left w:val="single" w:color="auto" w:sz="4" w:space="0"/>
              <w:bottom w:val="single" w:color="auto" w:sz="4" w:space="0"/>
              <w:right w:val="single" w:color="auto" w:sz="4" w:space="0"/>
            </w:tcBorders>
            <w:noWrap w:val="0"/>
            <w:vAlign w:val="center"/>
          </w:tcPr>
          <w:p w14:paraId="3801CA8C">
            <w:pPr>
              <w:spacing w:line="360" w:lineRule="auto"/>
              <w:contextualSpacing/>
              <w:jc w:val="center"/>
              <w:rPr>
                <w:rFonts w:hint="eastAsia" w:ascii="宋体" w:hAnsi="宋体" w:eastAsia="宋体" w:cs="宋体"/>
                <w:color w:val="auto"/>
                <w:sz w:val="24"/>
                <w:szCs w:val="20"/>
                <w:highlight w:val="none"/>
              </w:rPr>
            </w:pPr>
          </w:p>
        </w:tc>
        <w:tc>
          <w:tcPr>
            <w:tcW w:w="3175" w:type="dxa"/>
            <w:tcBorders>
              <w:top w:val="single" w:color="auto" w:sz="4" w:space="0"/>
              <w:left w:val="single" w:color="auto" w:sz="4" w:space="0"/>
              <w:bottom w:val="single" w:color="auto" w:sz="4" w:space="0"/>
              <w:right w:val="single" w:color="auto" w:sz="4" w:space="0"/>
            </w:tcBorders>
            <w:noWrap w:val="0"/>
            <w:vAlign w:val="center"/>
          </w:tcPr>
          <w:p w14:paraId="4FA749FB">
            <w:pPr>
              <w:spacing w:line="360" w:lineRule="auto"/>
              <w:contextualSpacing/>
              <w:jc w:val="center"/>
              <w:rPr>
                <w:rFonts w:hint="eastAsia" w:ascii="宋体" w:hAnsi="宋体" w:eastAsia="宋体" w:cs="宋体"/>
                <w:color w:val="auto"/>
                <w:sz w:val="24"/>
                <w:szCs w:val="20"/>
                <w:highlight w:val="none"/>
              </w:rPr>
            </w:pPr>
          </w:p>
        </w:tc>
      </w:tr>
      <w:tr w14:paraId="46491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1157" w:type="dxa"/>
            <w:tcBorders>
              <w:top w:val="single" w:color="auto" w:sz="4" w:space="0"/>
              <w:left w:val="single" w:color="auto" w:sz="4" w:space="0"/>
              <w:bottom w:val="single" w:color="auto" w:sz="4" w:space="0"/>
              <w:right w:val="single" w:color="auto" w:sz="4" w:space="0"/>
            </w:tcBorders>
            <w:noWrap w:val="0"/>
            <w:vAlign w:val="center"/>
          </w:tcPr>
          <w:p w14:paraId="28E5BFED">
            <w:pPr>
              <w:spacing w:line="360" w:lineRule="auto"/>
              <w:contextualSpacing/>
              <w:jc w:val="center"/>
              <w:rPr>
                <w:rFonts w:hint="default" w:ascii="宋体" w:hAnsi="宋体" w:eastAsia="宋体" w:cs="宋体"/>
                <w:color w:val="auto"/>
                <w:sz w:val="24"/>
                <w:szCs w:val="20"/>
                <w:highlight w:val="none"/>
                <w:lang w:val="en-US" w:eastAsia="zh-CN"/>
              </w:rPr>
            </w:pPr>
            <w:r>
              <w:rPr>
                <w:rFonts w:hint="eastAsia" w:ascii="宋体" w:hAnsi="宋体" w:cs="宋体"/>
                <w:color w:val="auto"/>
                <w:sz w:val="24"/>
                <w:szCs w:val="20"/>
                <w:highlight w:val="none"/>
                <w:lang w:val="en-US" w:eastAsia="zh-CN"/>
              </w:rPr>
              <w:t>...</w:t>
            </w:r>
          </w:p>
        </w:tc>
        <w:tc>
          <w:tcPr>
            <w:tcW w:w="957" w:type="dxa"/>
            <w:tcBorders>
              <w:top w:val="single" w:color="auto" w:sz="4" w:space="0"/>
              <w:left w:val="single" w:color="auto" w:sz="4" w:space="0"/>
              <w:bottom w:val="single" w:color="auto" w:sz="4" w:space="0"/>
              <w:right w:val="single" w:color="auto" w:sz="4" w:space="0"/>
            </w:tcBorders>
            <w:noWrap w:val="0"/>
            <w:vAlign w:val="center"/>
          </w:tcPr>
          <w:p w14:paraId="632D30B0">
            <w:pPr>
              <w:spacing w:line="360" w:lineRule="auto"/>
              <w:contextualSpacing/>
              <w:jc w:val="center"/>
              <w:rPr>
                <w:rFonts w:hint="default" w:ascii="宋体" w:hAnsi="宋体" w:eastAsia="宋体" w:cs="宋体"/>
                <w:color w:val="auto"/>
                <w:sz w:val="24"/>
                <w:szCs w:val="20"/>
                <w:highlight w:val="none"/>
                <w:lang w:val="en-US" w:eastAsia="zh-CN"/>
              </w:rPr>
            </w:pPr>
            <w:r>
              <w:rPr>
                <w:rFonts w:hint="eastAsia" w:ascii="宋体" w:hAnsi="宋体" w:cs="宋体"/>
                <w:color w:val="auto"/>
                <w:sz w:val="24"/>
                <w:szCs w:val="20"/>
                <w:highlight w:val="none"/>
                <w:lang w:val="en-US" w:eastAsia="zh-CN"/>
              </w:rPr>
              <w:t>...</w:t>
            </w:r>
          </w:p>
        </w:tc>
        <w:tc>
          <w:tcPr>
            <w:tcW w:w="3223" w:type="dxa"/>
            <w:tcBorders>
              <w:top w:val="single" w:color="auto" w:sz="4" w:space="0"/>
              <w:left w:val="single" w:color="auto" w:sz="4" w:space="0"/>
              <w:bottom w:val="single" w:color="auto" w:sz="4" w:space="0"/>
              <w:right w:val="single" w:color="auto" w:sz="4" w:space="0"/>
            </w:tcBorders>
            <w:noWrap w:val="0"/>
            <w:vAlign w:val="center"/>
          </w:tcPr>
          <w:p w14:paraId="6431F5BC">
            <w:pPr>
              <w:spacing w:line="360" w:lineRule="auto"/>
              <w:contextualSpacing/>
              <w:jc w:val="center"/>
              <w:rPr>
                <w:rFonts w:hint="default" w:ascii="宋体" w:hAnsi="宋体" w:eastAsia="宋体" w:cs="宋体"/>
                <w:color w:val="auto"/>
                <w:sz w:val="24"/>
                <w:szCs w:val="20"/>
                <w:highlight w:val="none"/>
                <w:lang w:val="en-US" w:eastAsia="zh-CN"/>
              </w:rPr>
            </w:pPr>
            <w:r>
              <w:rPr>
                <w:rFonts w:hint="eastAsia" w:ascii="宋体" w:hAnsi="宋体" w:cs="宋体"/>
                <w:color w:val="auto"/>
                <w:sz w:val="24"/>
                <w:szCs w:val="20"/>
                <w:highlight w:val="none"/>
                <w:lang w:val="en-US" w:eastAsia="zh-CN"/>
              </w:rPr>
              <w:t>...</w:t>
            </w:r>
          </w:p>
        </w:tc>
        <w:tc>
          <w:tcPr>
            <w:tcW w:w="3175" w:type="dxa"/>
            <w:tcBorders>
              <w:top w:val="single" w:color="auto" w:sz="4" w:space="0"/>
              <w:left w:val="single" w:color="auto" w:sz="4" w:space="0"/>
              <w:bottom w:val="single" w:color="auto" w:sz="4" w:space="0"/>
              <w:right w:val="single" w:color="auto" w:sz="4" w:space="0"/>
            </w:tcBorders>
            <w:noWrap w:val="0"/>
            <w:vAlign w:val="center"/>
          </w:tcPr>
          <w:p w14:paraId="4AEB1B30">
            <w:pPr>
              <w:spacing w:line="360" w:lineRule="auto"/>
              <w:contextualSpacing/>
              <w:jc w:val="center"/>
              <w:rPr>
                <w:rFonts w:hint="default" w:ascii="宋体" w:hAnsi="宋体" w:eastAsia="宋体" w:cs="宋体"/>
                <w:color w:val="auto"/>
                <w:sz w:val="24"/>
                <w:szCs w:val="20"/>
                <w:highlight w:val="none"/>
                <w:lang w:val="en-US" w:eastAsia="zh-CN"/>
              </w:rPr>
            </w:pPr>
            <w:r>
              <w:rPr>
                <w:rFonts w:hint="eastAsia" w:ascii="宋体" w:hAnsi="宋体" w:cs="宋体"/>
                <w:color w:val="auto"/>
                <w:sz w:val="24"/>
                <w:szCs w:val="20"/>
                <w:highlight w:val="none"/>
                <w:lang w:val="en-US" w:eastAsia="zh-CN"/>
              </w:rPr>
              <w:t>...</w:t>
            </w:r>
          </w:p>
        </w:tc>
      </w:tr>
    </w:tbl>
    <w:p w14:paraId="3B443167">
      <w:pPr>
        <w:spacing w:line="360" w:lineRule="auto"/>
        <w:contextualSpacing/>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注：</w:t>
      </w:r>
    </w:p>
    <w:p w14:paraId="7A23C79C">
      <w:pPr>
        <w:spacing w:line="360" w:lineRule="auto"/>
        <w:contextualSpacing/>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1.在填写时，如本表格不适合供应商的实际情况，可根据本表格式自行制表填写。</w:t>
      </w:r>
    </w:p>
    <w:p w14:paraId="7ED4E4EE">
      <w:pPr>
        <w:spacing w:line="360" w:lineRule="auto"/>
        <w:contextualSpacing/>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2.供应商应当附本表所列证书的复印件并加盖供应商</w:t>
      </w:r>
      <w:r>
        <w:rPr>
          <w:rFonts w:hint="eastAsia" w:ascii="宋体" w:hAnsi="宋体" w:eastAsia="宋体" w:cs="宋体"/>
          <w:color w:val="auto"/>
          <w:sz w:val="24"/>
          <w:highlight w:val="none"/>
        </w:rPr>
        <w:t>公章</w:t>
      </w:r>
      <w:r>
        <w:rPr>
          <w:rFonts w:hint="eastAsia" w:ascii="宋体" w:hAnsi="宋体" w:eastAsia="宋体" w:cs="宋体"/>
          <w:color w:val="auto"/>
          <w:sz w:val="24"/>
          <w:szCs w:val="20"/>
          <w:highlight w:val="none"/>
        </w:rPr>
        <w:t>。</w:t>
      </w:r>
    </w:p>
    <w:p w14:paraId="67EDD4DB">
      <w:pPr>
        <w:spacing w:line="360" w:lineRule="auto"/>
        <w:contextualSpacing/>
        <w:rPr>
          <w:rFonts w:hint="eastAsia" w:ascii="宋体" w:hAnsi="宋体" w:eastAsia="宋体" w:cs="宋体"/>
          <w:color w:val="auto"/>
          <w:spacing w:val="20"/>
          <w:sz w:val="24"/>
          <w:szCs w:val="20"/>
          <w:highlight w:val="none"/>
          <w:u w:val="single"/>
        </w:rPr>
      </w:pPr>
      <w:r>
        <w:rPr>
          <w:rFonts w:hint="eastAsia" w:ascii="宋体" w:hAnsi="宋体" w:eastAsia="宋体" w:cs="宋体"/>
          <w:color w:val="auto"/>
          <w:sz w:val="24"/>
          <w:highlight w:val="none"/>
        </w:rPr>
        <w:t>法定代表人或者委托代理人</w:t>
      </w:r>
      <w:r>
        <w:rPr>
          <w:rFonts w:hint="eastAsia" w:ascii="宋体" w:hAnsi="宋体" w:eastAsia="宋体" w:cs="宋体"/>
          <w:color w:val="auto"/>
          <w:spacing w:val="20"/>
          <w:sz w:val="24"/>
          <w:highlight w:val="none"/>
        </w:rPr>
        <w:t>签字：</w:t>
      </w:r>
      <w:r>
        <w:rPr>
          <w:rFonts w:hint="eastAsia" w:ascii="宋体" w:hAnsi="宋体" w:eastAsia="宋体" w:cs="宋体"/>
          <w:color w:val="auto"/>
          <w:spacing w:val="20"/>
          <w:sz w:val="24"/>
          <w:highlight w:val="none"/>
          <w:u w:val="single"/>
        </w:rPr>
        <w:t xml:space="preserve">        </w:t>
      </w:r>
    </w:p>
    <w:p w14:paraId="1CEA13FA">
      <w:pPr>
        <w:spacing w:line="360" w:lineRule="auto"/>
        <w:contextualSpacing/>
        <w:jc w:val="left"/>
        <w:rPr>
          <w:rFonts w:hint="eastAsia" w:ascii="宋体" w:hAnsi="宋体" w:eastAsia="宋体" w:cs="宋体"/>
          <w:color w:val="auto"/>
          <w:sz w:val="24"/>
          <w:szCs w:val="20"/>
          <w:highlight w:val="none"/>
        </w:rPr>
      </w:pPr>
      <w:r>
        <w:rPr>
          <w:rFonts w:hint="eastAsia" w:ascii="宋体" w:hAnsi="宋体" w:eastAsia="宋体" w:cs="宋体"/>
          <w:color w:val="auto"/>
          <w:spacing w:val="20"/>
          <w:sz w:val="24"/>
          <w:highlight w:val="none"/>
        </w:rPr>
        <w:t>供应商（</w:t>
      </w:r>
      <w:r>
        <w:rPr>
          <w:rFonts w:hint="eastAsia" w:ascii="宋体" w:hAnsi="宋体" w:eastAsia="宋体" w:cs="宋体"/>
          <w:color w:val="auto"/>
          <w:sz w:val="24"/>
          <w:highlight w:val="none"/>
        </w:rPr>
        <w:t>公章</w:t>
      </w:r>
      <w:r>
        <w:rPr>
          <w:rFonts w:hint="eastAsia" w:ascii="宋体" w:hAnsi="宋体" w:eastAsia="宋体" w:cs="宋体"/>
          <w:color w:val="auto"/>
          <w:spacing w:val="20"/>
          <w:sz w:val="24"/>
          <w:highlight w:val="none"/>
        </w:rPr>
        <w:t>）：</w:t>
      </w:r>
      <w:r>
        <w:rPr>
          <w:rFonts w:hint="eastAsia" w:ascii="宋体" w:hAnsi="宋体" w:eastAsia="宋体" w:cs="宋体"/>
          <w:color w:val="auto"/>
          <w:spacing w:val="20"/>
          <w:sz w:val="24"/>
          <w:highlight w:val="none"/>
          <w:u w:val="single"/>
        </w:rPr>
        <w:t xml:space="preserve">            </w:t>
      </w:r>
      <w:r>
        <w:rPr>
          <w:rFonts w:hint="eastAsia" w:ascii="宋体" w:hAnsi="宋体" w:eastAsia="宋体" w:cs="宋体"/>
          <w:color w:val="auto"/>
          <w:spacing w:val="20"/>
          <w:sz w:val="24"/>
          <w:highlight w:val="none"/>
        </w:rPr>
        <w:t xml:space="preserve">              日 期：</w:t>
      </w:r>
      <w:r>
        <w:rPr>
          <w:rFonts w:hint="eastAsia" w:ascii="宋体" w:hAnsi="宋体" w:eastAsia="宋体" w:cs="宋体"/>
          <w:color w:val="auto"/>
          <w:spacing w:val="20"/>
          <w:sz w:val="24"/>
          <w:highlight w:val="none"/>
          <w:u w:val="single"/>
        </w:rPr>
        <w:t xml:space="preserve">         </w:t>
      </w:r>
    </w:p>
    <w:p w14:paraId="43FBDA43">
      <w:pPr>
        <w:spacing w:before="50" w:after="156"/>
        <w:jc w:val="left"/>
        <w:rPr>
          <w:rFonts w:hint="eastAsia" w:ascii="宋体" w:hAnsi="宋体" w:eastAsia="宋体" w:cs="宋体"/>
          <w:color w:val="auto"/>
          <w:sz w:val="24"/>
          <w:szCs w:val="20"/>
          <w:highlight w:val="none"/>
        </w:rPr>
      </w:pPr>
    </w:p>
    <w:p w14:paraId="43A535F0">
      <w:pPr>
        <w:spacing w:before="50" w:after="50" w:line="360" w:lineRule="auto"/>
        <w:ind w:right="-817" w:firstLine="5461"/>
        <w:rPr>
          <w:rFonts w:hint="eastAsia" w:ascii="宋体" w:hAnsi="宋体" w:eastAsia="宋体" w:cs="宋体"/>
          <w:b/>
          <w:color w:val="auto"/>
          <w:sz w:val="32"/>
          <w:szCs w:val="32"/>
          <w:highlight w:val="none"/>
        </w:rPr>
      </w:pPr>
    </w:p>
    <w:p w14:paraId="1871C2BA">
      <w:pPr>
        <w:spacing w:line="300" w:lineRule="auto"/>
        <w:rPr>
          <w:rFonts w:hint="eastAsia" w:ascii="宋体" w:hAnsi="宋体"/>
          <w:color w:val="auto"/>
          <w:szCs w:val="21"/>
          <w:highlight w:val="none"/>
        </w:rPr>
      </w:pPr>
      <w:r>
        <w:rPr>
          <w:rFonts w:hint="eastAsia" w:ascii="宋体" w:hAnsi="宋体" w:eastAsia="宋体" w:cs="宋体"/>
          <w:b/>
          <w:bCs/>
          <w:color w:val="auto"/>
          <w:sz w:val="24"/>
          <w:highlight w:val="none"/>
        </w:rPr>
        <w:br w:type="page" w:clear="all"/>
      </w:r>
      <w:r>
        <w:rPr>
          <w:rFonts w:hint="eastAsia" w:ascii="宋体" w:hAnsi="宋体"/>
          <w:b/>
          <w:bCs/>
          <w:color w:val="auto"/>
          <w:sz w:val="24"/>
          <w:highlight w:val="none"/>
        </w:rPr>
        <w:t>其他文书、文件格式</w:t>
      </w:r>
    </w:p>
    <w:p w14:paraId="60D08E7E">
      <w:pPr>
        <w:jc w:val="center"/>
        <w:rPr>
          <w:rFonts w:hint="eastAsia" w:ascii="宋体" w:hAnsi="宋体" w:cs="宋体"/>
          <w:color w:val="auto"/>
          <w:sz w:val="44"/>
          <w:szCs w:val="44"/>
          <w:highlight w:val="none"/>
        </w:rPr>
      </w:pPr>
      <w:bookmarkStart w:id="140" w:name="_Toc71365926"/>
    </w:p>
    <w:p w14:paraId="6EE2FBEC">
      <w:pPr>
        <w:jc w:val="center"/>
        <w:rPr>
          <w:rFonts w:ascii="宋体" w:hAnsi="宋体" w:cs="宋体"/>
          <w:color w:val="auto"/>
          <w:sz w:val="44"/>
          <w:szCs w:val="44"/>
          <w:highlight w:val="none"/>
        </w:rPr>
      </w:pPr>
      <w:r>
        <w:rPr>
          <w:rFonts w:hint="eastAsia" w:ascii="宋体" w:hAnsi="宋体" w:cs="宋体"/>
          <w:color w:val="auto"/>
          <w:sz w:val="44"/>
          <w:szCs w:val="44"/>
          <w:highlight w:val="none"/>
        </w:rPr>
        <w:t>中小企业声明函（服务）</w:t>
      </w:r>
      <w:bookmarkEnd w:id="140"/>
    </w:p>
    <w:p w14:paraId="14E782E6">
      <w:pPr>
        <w:spacing w:before="2" w:line="500" w:lineRule="exact"/>
        <w:ind w:firstLine="708"/>
        <w:rPr>
          <w:rFonts w:ascii="宋体" w:hAnsi="宋体" w:cs="宋体"/>
          <w:b/>
          <w:bCs/>
          <w:color w:val="auto"/>
          <w:sz w:val="24"/>
          <w:highlight w:val="none"/>
        </w:rPr>
      </w:pPr>
    </w:p>
    <w:p w14:paraId="729864B6">
      <w:pPr>
        <w:pStyle w:val="3"/>
        <w:spacing w:line="360" w:lineRule="auto"/>
        <w:ind w:right="142" w:firstLine="705"/>
        <w:rPr>
          <w:rFonts w:ascii="宋体" w:hAnsi="宋体" w:cs="宋体"/>
          <w:color w:val="auto"/>
          <w:sz w:val="24"/>
          <w:highlight w:val="none"/>
        </w:rPr>
      </w:pPr>
      <w:r>
        <w:rPr>
          <w:rFonts w:hint="eastAsia" w:ascii="宋体" w:hAnsi="宋体" w:cs="宋体"/>
          <w:color w:val="auto"/>
          <w:sz w:val="24"/>
          <w:highlight w:val="none"/>
        </w:rPr>
        <w:t>本公司（联合体）郑重声明，根据《政府采购促进中小企业发展管理办法》（财库﹝2020﹞46号）的规定，本公司（联合体）参加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采购活动，服务全部由符合政策要求的中小企业承接。相关企业（含联合体中的中小企业、签订分包意向协议的中小企业）的具体情况如下：</w:t>
      </w:r>
    </w:p>
    <w:p w14:paraId="6AB89DDD">
      <w:pPr>
        <w:tabs>
          <w:tab w:val="left" w:pos="1384"/>
          <w:tab w:val="left" w:pos="4562"/>
          <w:tab w:val="left" w:pos="6803"/>
        </w:tabs>
        <w:spacing w:before="13" w:line="360" w:lineRule="auto"/>
        <w:ind w:right="142" w:firstLine="638"/>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u w:val="single"/>
        </w:rPr>
        <w:t xml:space="preserve">  （标的名称）  </w:t>
      </w:r>
      <w:r>
        <w:rPr>
          <w:rFonts w:hint="eastAsia" w:ascii="宋体" w:hAnsi="宋体" w:cs="宋体"/>
          <w:color w:val="auto"/>
          <w:sz w:val="24"/>
          <w:highlight w:val="none"/>
        </w:rPr>
        <w:t>，属于</w:t>
      </w:r>
      <w:r>
        <w:rPr>
          <w:rFonts w:hint="eastAsia" w:ascii="宋体" w:hAnsi="宋体" w:cs="宋体"/>
          <w:color w:val="auto"/>
          <w:sz w:val="24"/>
          <w:highlight w:val="none"/>
          <w:u w:val="single"/>
        </w:rPr>
        <w:t xml:space="preserve"> （采购文件中明确的所属行业） </w:t>
      </w:r>
      <w:r>
        <w:rPr>
          <w:rFonts w:hint="eastAsia" w:ascii="宋体" w:hAnsi="宋体" w:cs="宋体"/>
          <w:color w:val="auto"/>
          <w:sz w:val="24"/>
          <w:highlight w:val="none"/>
        </w:rPr>
        <w:t>；承接企业为</w:t>
      </w:r>
      <w:r>
        <w:rPr>
          <w:rFonts w:hint="eastAsia" w:ascii="宋体" w:hAnsi="宋体" w:cs="宋体"/>
          <w:color w:val="auto"/>
          <w:sz w:val="24"/>
          <w:highlight w:val="none"/>
          <w:u w:val="single"/>
        </w:rPr>
        <w:t xml:space="preserve">（企业名称）  </w:t>
      </w:r>
      <w:r>
        <w:rPr>
          <w:rFonts w:hint="eastAsia" w:ascii="宋体" w:hAnsi="宋体" w:cs="宋体"/>
          <w:color w:val="auto"/>
          <w:sz w:val="24"/>
          <w:highlight w:val="none"/>
        </w:rPr>
        <w:t>，从业人员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u w:val="single"/>
        </w:rPr>
        <w:t>（中型企业、小型企业、微型企业）</w:t>
      </w:r>
      <w:r>
        <w:rPr>
          <w:rFonts w:hint="eastAsia" w:ascii="宋体" w:hAnsi="宋体" w:cs="宋体"/>
          <w:color w:val="auto"/>
          <w:sz w:val="24"/>
          <w:highlight w:val="none"/>
        </w:rPr>
        <w:t>；</w:t>
      </w:r>
    </w:p>
    <w:p w14:paraId="0BBDE8C5">
      <w:pPr>
        <w:tabs>
          <w:tab w:val="left" w:pos="1384"/>
          <w:tab w:val="left" w:pos="4562"/>
          <w:tab w:val="left" w:pos="6803"/>
        </w:tabs>
        <w:spacing w:before="13" w:line="360" w:lineRule="auto"/>
        <w:ind w:right="142" w:firstLine="638"/>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u w:val="single"/>
        </w:rPr>
        <w:t xml:space="preserve">  （标的名称）  </w:t>
      </w:r>
      <w:r>
        <w:rPr>
          <w:rFonts w:hint="eastAsia" w:ascii="宋体" w:hAnsi="宋体" w:cs="宋体"/>
          <w:color w:val="auto"/>
          <w:sz w:val="24"/>
          <w:highlight w:val="none"/>
        </w:rPr>
        <w:t>，属于</w:t>
      </w:r>
      <w:r>
        <w:rPr>
          <w:rFonts w:hint="eastAsia" w:ascii="宋体" w:hAnsi="宋体" w:cs="宋体"/>
          <w:color w:val="auto"/>
          <w:sz w:val="24"/>
          <w:highlight w:val="none"/>
          <w:u w:val="single"/>
        </w:rPr>
        <w:t xml:space="preserve"> （采购文件中明确的所属行业） </w:t>
      </w:r>
      <w:r>
        <w:rPr>
          <w:rFonts w:hint="eastAsia" w:ascii="宋体" w:hAnsi="宋体" w:cs="宋体"/>
          <w:color w:val="auto"/>
          <w:sz w:val="24"/>
          <w:highlight w:val="none"/>
        </w:rPr>
        <w:t>；承接企业为</w:t>
      </w:r>
      <w:r>
        <w:rPr>
          <w:rFonts w:hint="eastAsia" w:ascii="宋体" w:hAnsi="宋体" w:cs="宋体"/>
          <w:color w:val="auto"/>
          <w:sz w:val="24"/>
          <w:highlight w:val="none"/>
          <w:u w:val="single"/>
        </w:rPr>
        <w:t xml:space="preserve">（企业名称）  </w:t>
      </w:r>
      <w:r>
        <w:rPr>
          <w:rFonts w:hint="eastAsia" w:ascii="宋体" w:hAnsi="宋体" w:cs="宋体"/>
          <w:color w:val="auto"/>
          <w:sz w:val="24"/>
          <w:highlight w:val="none"/>
        </w:rPr>
        <w:t>，从业人员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u w:val="single"/>
        </w:rPr>
        <w:t>（中型企业、小型企业、微型企业）</w:t>
      </w:r>
      <w:r>
        <w:rPr>
          <w:rFonts w:hint="eastAsia" w:ascii="宋体" w:hAnsi="宋体" w:cs="宋体"/>
          <w:color w:val="auto"/>
          <w:sz w:val="24"/>
          <w:highlight w:val="none"/>
        </w:rPr>
        <w:t>；</w:t>
      </w:r>
    </w:p>
    <w:p w14:paraId="415B3EE3">
      <w:pPr>
        <w:pStyle w:val="275"/>
        <w:spacing w:line="360" w:lineRule="auto"/>
        <w:rPr>
          <w:rFonts w:ascii="宋体" w:hAnsi="宋体" w:cs="宋体"/>
          <w:color w:val="auto"/>
          <w:highlight w:val="none"/>
        </w:rPr>
      </w:pPr>
    </w:p>
    <w:p w14:paraId="64885025">
      <w:pPr>
        <w:pStyle w:val="3"/>
        <w:spacing w:before="34" w:line="360" w:lineRule="auto"/>
        <w:ind w:right="142" w:firstLine="705"/>
        <w:rPr>
          <w:rFonts w:ascii="宋体" w:hAnsi="宋体" w:cs="宋体"/>
          <w:color w:val="auto"/>
          <w:sz w:val="24"/>
          <w:highlight w:val="none"/>
        </w:rPr>
      </w:pPr>
      <w:r>
        <w:rPr>
          <w:rFonts w:hint="eastAsia" w:ascii="宋体" w:hAnsi="宋体" w:cs="宋体"/>
          <w:color w:val="auto"/>
          <w:sz w:val="24"/>
          <w:highlight w:val="none"/>
        </w:rPr>
        <w:t>以上企业，不属于大企业的分支机构，不存在控股股东为大企业的情形，也不存在与大企业的负责人为同一人的情形。</w:t>
      </w:r>
    </w:p>
    <w:p w14:paraId="5C7798CC">
      <w:pPr>
        <w:pStyle w:val="3"/>
        <w:spacing w:before="25" w:line="360" w:lineRule="auto"/>
        <w:ind w:right="142" w:firstLine="705"/>
        <w:rPr>
          <w:rFonts w:ascii="宋体" w:hAnsi="宋体" w:cs="宋体"/>
          <w:color w:val="auto"/>
          <w:sz w:val="24"/>
          <w:highlight w:val="none"/>
        </w:rPr>
      </w:pPr>
      <w:r>
        <w:rPr>
          <w:rFonts w:hint="eastAsia" w:ascii="宋体" w:hAnsi="宋体" w:cs="宋体"/>
          <w:color w:val="auto"/>
          <w:sz w:val="24"/>
          <w:highlight w:val="none"/>
        </w:rPr>
        <w:t>本企业对上述声明内容的真实性负责。如有虚假，将依法承担相应责任。</w:t>
      </w:r>
    </w:p>
    <w:p w14:paraId="732D9F86">
      <w:pPr>
        <w:pStyle w:val="3"/>
        <w:spacing w:before="56" w:line="500" w:lineRule="exact"/>
        <w:ind w:right="1808" w:firstLine="705"/>
        <w:rPr>
          <w:rFonts w:ascii="宋体" w:hAnsi="宋体" w:cs="宋体"/>
          <w:color w:val="auto"/>
          <w:sz w:val="24"/>
          <w:highlight w:val="none"/>
        </w:rPr>
      </w:pPr>
    </w:p>
    <w:p w14:paraId="384DDA95">
      <w:pPr>
        <w:pStyle w:val="3"/>
        <w:spacing w:before="56" w:line="500" w:lineRule="exact"/>
        <w:ind w:right="650" w:firstLine="5625"/>
        <w:rPr>
          <w:rFonts w:ascii="宋体" w:hAnsi="宋体" w:cs="宋体"/>
          <w:color w:val="auto"/>
          <w:sz w:val="24"/>
          <w:highlight w:val="none"/>
        </w:rPr>
      </w:pPr>
      <w:r>
        <w:rPr>
          <w:rFonts w:hint="eastAsia" w:ascii="宋体" w:hAnsi="宋体" w:cs="宋体"/>
          <w:color w:val="auto"/>
          <w:sz w:val="24"/>
          <w:highlight w:val="none"/>
        </w:rPr>
        <w:t xml:space="preserve">企业名称（章）： </w:t>
      </w:r>
    </w:p>
    <w:p w14:paraId="1DC74632">
      <w:pPr>
        <w:pStyle w:val="3"/>
        <w:spacing w:before="56" w:line="500" w:lineRule="exact"/>
        <w:ind w:right="1808" w:firstLine="5625"/>
        <w:rPr>
          <w:rFonts w:ascii="宋体" w:hAnsi="宋体" w:cs="宋体"/>
          <w:color w:val="auto"/>
          <w:sz w:val="24"/>
          <w:highlight w:val="none"/>
        </w:rPr>
      </w:pPr>
      <w:r>
        <w:rPr>
          <w:rFonts w:hint="eastAsia" w:ascii="宋体" w:hAnsi="宋体" w:cs="宋体"/>
          <w:color w:val="auto"/>
          <w:sz w:val="24"/>
          <w:highlight w:val="none"/>
        </w:rPr>
        <w:t>日 期：</w:t>
      </w:r>
    </w:p>
    <w:p w14:paraId="67C8D428">
      <w:pPr>
        <w:spacing w:line="520" w:lineRule="exact"/>
        <w:jc w:val="left"/>
        <w:rPr>
          <w:rFonts w:ascii="宋体" w:hAnsi="宋体" w:cs="宋体"/>
          <w:color w:val="auto"/>
          <w:sz w:val="24"/>
          <w:highlight w:val="none"/>
        </w:rPr>
      </w:pPr>
      <w:r>
        <w:rPr>
          <w:rFonts w:hint="eastAsia" w:ascii="宋体" w:hAnsi="宋体" w:cs="宋体"/>
          <w:color w:val="auto"/>
          <w:sz w:val="24"/>
          <w:highlight w:val="none"/>
        </w:rPr>
        <w:t>注：享受《政府采购促进中小企业发展管理办法》（财库〔2020〕46号）规定的中小企业扶持政策的，采购人、采购代理机构应当随成交结果公开成交供应商的《中小企业声明函》。从业人员、营业收入、资产总额填报上一年度数据，无上一年度数据的新成立企业可不填报。</w:t>
      </w:r>
    </w:p>
    <w:p w14:paraId="1E7FF673">
      <w:pPr>
        <w:spacing w:line="520" w:lineRule="exact"/>
        <w:jc w:val="center"/>
        <w:rPr>
          <w:rFonts w:ascii="宋体" w:hAnsi="宋体" w:cs="宋体"/>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color w:val="auto"/>
          <w:sz w:val="44"/>
          <w:szCs w:val="44"/>
          <w:highlight w:val="none"/>
        </w:rPr>
        <w:t>残疾人福利性单位声明函</w:t>
      </w:r>
    </w:p>
    <w:p w14:paraId="2E1E4D2E">
      <w:pPr>
        <w:spacing w:line="360" w:lineRule="auto"/>
        <w:contextualSpacing/>
        <w:rPr>
          <w:rFonts w:ascii="宋体" w:hAnsi="宋体" w:cs="宋体"/>
          <w:color w:val="auto"/>
          <w:sz w:val="32"/>
          <w:szCs w:val="32"/>
          <w:highlight w:val="none"/>
        </w:rPr>
      </w:pPr>
    </w:p>
    <w:p w14:paraId="5B83A86A">
      <w:pPr>
        <w:spacing w:line="360" w:lineRule="auto"/>
        <w:ind w:firstLine="480"/>
        <w:contextualSpacing/>
        <w:rPr>
          <w:rFonts w:ascii="宋体" w:hAnsi="宋体" w:cs="宋体"/>
          <w:color w:val="auto"/>
          <w:sz w:val="24"/>
          <w:highlight w:val="none"/>
        </w:rPr>
      </w:pPr>
      <w:r>
        <w:rPr>
          <w:rFonts w:hint="eastAsia" w:ascii="宋体" w:hAnsi="宋体" w:cs="宋体"/>
          <w:color w:val="auto"/>
          <w:sz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单位的项目采购活动提供本单位制造的货物（由本单位承担工程/提供服务），或者提供其他残疾人福利性单位制造的货物（不包括使用非残疾人福利性单位注册商标的货物）。</w:t>
      </w:r>
    </w:p>
    <w:p w14:paraId="64E0C804">
      <w:pPr>
        <w:spacing w:line="360" w:lineRule="auto"/>
        <w:ind w:firstLine="480"/>
        <w:contextualSpacing/>
        <w:rPr>
          <w:rFonts w:ascii="宋体" w:hAnsi="宋体" w:cs="宋体"/>
          <w:color w:val="auto"/>
          <w:sz w:val="24"/>
          <w:highlight w:val="none"/>
        </w:rPr>
      </w:pPr>
      <w:r>
        <w:rPr>
          <w:rFonts w:hint="eastAsia" w:ascii="宋体" w:hAnsi="宋体" w:cs="宋体"/>
          <w:color w:val="auto"/>
          <w:sz w:val="24"/>
          <w:highlight w:val="none"/>
        </w:rPr>
        <w:t>本单位对上述声明的真实性负责。如有虚假，将依法承担相应责任。</w:t>
      </w:r>
    </w:p>
    <w:p w14:paraId="1E6635AB">
      <w:pPr>
        <w:spacing w:line="360" w:lineRule="auto"/>
        <w:contextualSpacing/>
        <w:rPr>
          <w:rFonts w:ascii="宋体" w:hAnsi="宋体" w:cs="宋体"/>
          <w:color w:val="auto"/>
          <w:sz w:val="24"/>
          <w:highlight w:val="none"/>
        </w:rPr>
      </w:pPr>
    </w:p>
    <w:p w14:paraId="5225B065">
      <w:pPr>
        <w:spacing w:line="360" w:lineRule="auto"/>
        <w:contextualSpacing/>
        <w:rPr>
          <w:rFonts w:ascii="宋体" w:hAnsi="宋体" w:cs="宋体"/>
          <w:color w:val="auto"/>
          <w:sz w:val="24"/>
          <w:highlight w:val="none"/>
        </w:rPr>
      </w:pPr>
    </w:p>
    <w:p w14:paraId="0AECF347">
      <w:pPr>
        <w:spacing w:line="360" w:lineRule="auto"/>
        <w:contextualSpacing/>
        <w:rPr>
          <w:rFonts w:ascii="宋体" w:hAnsi="宋体" w:cs="宋体"/>
          <w:color w:val="auto"/>
          <w:sz w:val="24"/>
          <w:highlight w:val="none"/>
        </w:rPr>
      </w:pPr>
    </w:p>
    <w:p w14:paraId="3F3DA370">
      <w:pPr>
        <w:spacing w:line="360" w:lineRule="auto"/>
        <w:ind w:firstLine="2400"/>
        <w:contextualSpacing/>
        <w:rPr>
          <w:rFonts w:ascii="宋体" w:hAnsi="宋体" w:cs="宋体"/>
          <w:color w:val="auto"/>
          <w:sz w:val="24"/>
          <w:highlight w:val="none"/>
        </w:rPr>
      </w:pPr>
      <w:r>
        <w:rPr>
          <w:rFonts w:hint="eastAsia" w:ascii="宋体" w:hAnsi="宋体" w:cs="宋体"/>
          <w:color w:val="auto"/>
          <w:sz w:val="24"/>
          <w:highlight w:val="none"/>
        </w:rPr>
        <w:t>单位名称（盖章）：</w:t>
      </w:r>
    </w:p>
    <w:p w14:paraId="3AB3E5D1">
      <w:pPr>
        <w:spacing w:line="360" w:lineRule="auto"/>
        <w:ind w:firstLine="3600"/>
        <w:contextualSpacing/>
        <w:rPr>
          <w:rFonts w:ascii="宋体" w:hAnsi="宋体" w:cs="宋体"/>
          <w:color w:val="auto"/>
          <w:sz w:val="24"/>
          <w:highlight w:val="none"/>
        </w:rPr>
      </w:pPr>
      <w:r>
        <w:rPr>
          <w:rFonts w:hint="eastAsia" w:ascii="宋体" w:hAnsi="宋体" w:cs="宋体"/>
          <w:color w:val="auto"/>
          <w:sz w:val="24"/>
          <w:highlight w:val="none"/>
        </w:rPr>
        <w:t>日  期：</w:t>
      </w:r>
    </w:p>
    <w:p w14:paraId="22844C82">
      <w:pPr>
        <w:spacing w:line="360" w:lineRule="auto"/>
        <w:contextualSpacing/>
        <w:rPr>
          <w:rFonts w:ascii="宋体" w:hAnsi="宋体" w:cs="宋体"/>
          <w:color w:val="auto"/>
          <w:sz w:val="24"/>
          <w:highlight w:val="none"/>
        </w:rPr>
      </w:pPr>
    </w:p>
    <w:p w14:paraId="4877D8F0">
      <w:pPr>
        <w:spacing w:line="360" w:lineRule="auto"/>
        <w:contextualSpacing/>
        <w:rPr>
          <w:rFonts w:ascii="宋体" w:hAnsi="宋体" w:cs="宋体"/>
          <w:color w:val="auto"/>
          <w:sz w:val="24"/>
          <w:highlight w:val="none"/>
        </w:rPr>
      </w:pPr>
    </w:p>
    <w:p w14:paraId="38CA547E">
      <w:pPr>
        <w:spacing w:line="360" w:lineRule="auto"/>
        <w:contextualSpacing/>
        <w:rPr>
          <w:rFonts w:ascii="宋体" w:hAnsi="宋体" w:cs="宋体"/>
          <w:color w:val="auto"/>
          <w:sz w:val="24"/>
          <w:highlight w:val="none"/>
        </w:rPr>
      </w:pPr>
    </w:p>
    <w:p w14:paraId="45182F6E">
      <w:pPr>
        <w:spacing w:line="360" w:lineRule="auto"/>
        <w:contextualSpacing/>
        <w:rPr>
          <w:rFonts w:ascii="宋体" w:hAnsi="宋体" w:cs="宋体"/>
          <w:color w:val="auto"/>
          <w:sz w:val="24"/>
          <w:highlight w:val="none"/>
        </w:rPr>
      </w:pPr>
      <w:r>
        <w:rPr>
          <w:rFonts w:hint="eastAsia" w:ascii="宋体" w:hAnsi="宋体" w:cs="宋体"/>
          <w:color w:val="auto"/>
          <w:sz w:val="24"/>
          <w:highlight w:val="none"/>
        </w:rPr>
        <w:t>注：请根据自己的真实情况出具《残疾人福利性单位声明函》。依法享受中小企业优惠政策的，采购人或者采购代理机构在公告成交结果时，同时公告其《残疾人福利性单位声明函》，接受社会监督。</w:t>
      </w:r>
    </w:p>
    <w:p w14:paraId="1C723D11">
      <w:pPr>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color w:val="auto"/>
          <w:sz w:val="44"/>
          <w:szCs w:val="44"/>
          <w:highlight w:val="none"/>
        </w:rPr>
        <w:t>质疑函（格式）</w:t>
      </w:r>
    </w:p>
    <w:p w14:paraId="7B433E8B">
      <w:pPr>
        <w:pStyle w:val="45"/>
        <w:spacing w:line="360" w:lineRule="auto"/>
        <w:ind w:firstLine="482"/>
        <w:contextualSpacing/>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一、质疑供应商基本信息：</w:t>
      </w:r>
    </w:p>
    <w:p w14:paraId="217F2CC7">
      <w:pPr>
        <w:pStyle w:val="45"/>
        <w:spacing w:line="360" w:lineRule="auto"/>
        <w:ind w:firstLine="480"/>
        <w:contextualSpacing/>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质疑供应商：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7EEB2EAC">
      <w:pPr>
        <w:pStyle w:val="45"/>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地址：</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邮编：</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1E91C0A8">
      <w:pPr>
        <w:pStyle w:val="45"/>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联系电话：</w:t>
      </w:r>
      <w:r>
        <w:rPr>
          <w:rFonts w:hint="eastAsia" w:ascii="宋体" w:hAnsi="宋体" w:eastAsia="宋体" w:cs="宋体"/>
          <w:bCs/>
          <w:color w:val="auto"/>
          <w:sz w:val="24"/>
          <w:szCs w:val="24"/>
          <w:highlight w:val="none"/>
          <w:u w:val="single"/>
        </w:rPr>
        <w:t xml:space="preserve">                 </w:t>
      </w:r>
    </w:p>
    <w:p w14:paraId="65B81981">
      <w:pPr>
        <w:pStyle w:val="45"/>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授权代表：</w:t>
      </w:r>
      <w:r>
        <w:rPr>
          <w:rFonts w:hint="eastAsia" w:ascii="宋体" w:hAnsi="宋体" w:eastAsia="宋体" w:cs="宋体"/>
          <w:bCs/>
          <w:color w:val="auto"/>
          <w:sz w:val="24"/>
          <w:szCs w:val="24"/>
          <w:highlight w:val="none"/>
          <w:u w:val="single"/>
        </w:rPr>
        <w:t xml:space="preserve">                      </w:t>
      </w:r>
    </w:p>
    <w:p w14:paraId="2DAF19E4">
      <w:pPr>
        <w:pStyle w:val="45"/>
        <w:spacing w:line="360" w:lineRule="auto"/>
        <w:ind w:firstLine="480"/>
        <w:contextualSpacing/>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联系电话：</w:t>
      </w:r>
      <w:r>
        <w:rPr>
          <w:rFonts w:hint="eastAsia" w:ascii="宋体" w:hAnsi="宋体" w:eastAsia="宋体" w:cs="宋体"/>
          <w:bCs/>
          <w:color w:val="auto"/>
          <w:sz w:val="24"/>
          <w:szCs w:val="24"/>
          <w:highlight w:val="none"/>
          <w:u w:val="single"/>
        </w:rPr>
        <w:t xml:space="preserve">                      </w:t>
      </w:r>
    </w:p>
    <w:p w14:paraId="08329DB1">
      <w:pPr>
        <w:pStyle w:val="45"/>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地址：</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邮编：</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71644307">
      <w:pPr>
        <w:pStyle w:val="45"/>
        <w:spacing w:line="360" w:lineRule="auto"/>
        <w:ind w:firstLine="482"/>
        <w:contextualSpacing/>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二、质疑项目基本情况：</w:t>
      </w:r>
    </w:p>
    <w:p w14:paraId="4213B5A0">
      <w:pPr>
        <w:pStyle w:val="45"/>
        <w:spacing w:line="360" w:lineRule="auto"/>
        <w:ind w:left="25" w:firstLine="472"/>
        <w:contextualSpacing/>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质疑</w:t>
      </w:r>
      <w:r>
        <w:rPr>
          <w:rFonts w:hint="eastAsia" w:ascii="宋体" w:hAnsi="宋体" w:eastAsia="宋体" w:cs="宋体"/>
          <w:color w:val="auto"/>
          <w:sz w:val="24"/>
          <w:szCs w:val="24"/>
          <w:highlight w:val="none"/>
        </w:rPr>
        <w:t>项目的名称：</w:t>
      </w:r>
      <w:r>
        <w:rPr>
          <w:rFonts w:hint="eastAsia" w:ascii="宋体" w:hAnsi="宋体" w:eastAsia="宋体" w:cs="宋体"/>
          <w:bCs/>
          <w:color w:val="auto"/>
          <w:sz w:val="24"/>
          <w:szCs w:val="24"/>
          <w:highlight w:val="none"/>
          <w:u w:val="single"/>
        </w:rPr>
        <w:t xml:space="preserve">                                     </w:t>
      </w:r>
    </w:p>
    <w:p w14:paraId="75F16323">
      <w:pPr>
        <w:pStyle w:val="45"/>
        <w:spacing w:line="360" w:lineRule="auto"/>
        <w:ind w:left="25" w:firstLine="472"/>
        <w:contextualSpacing/>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质疑</w:t>
      </w:r>
      <w:r>
        <w:rPr>
          <w:rFonts w:hint="eastAsia" w:ascii="宋体" w:hAnsi="宋体" w:eastAsia="宋体" w:cs="宋体"/>
          <w:color w:val="auto"/>
          <w:sz w:val="24"/>
          <w:szCs w:val="24"/>
          <w:highlight w:val="none"/>
        </w:rPr>
        <w:t>项目的编号：</w:t>
      </w:r>
      <w:r>
        <w:rPr>
          <w:rFonts w:hint="eastAsia" w:ascii="宋体" w:hAnsi="宋体" w:eastAsia="宋体" w:cs="宋体"/>
          <w:bCs/>
          <w:color w:val="auto"/>
          <w:sz w:val="24"/>
          <w:szCs w:val="24"/>
          <w:highlight w:val="none"/>
          <w:u w:val="single"/>
        </w:rPr>
        <w:t xml:space="preserve">                                     </w:t>
      </w:r>
    </w:p>
    <w:p w14:paraId="5A559752">
      <w:pPr>
        <w:pStyle w:val="45"/>
        <w:spacing w:line="360" w:lineRule="auto"/>
        <w:ind w:left="25" w:firstLine="472"/>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采购人名称：</w:t>
      </w:r>
      <w:r>
        <w:rPr>
          <w:rFonts w:hint="eastAsia" w:ascii="宋体" w:hAnsi="宋体" w:eastAsia="宋体" w:cs="宋体"/>
          <w:bCs/>
          <w:color w:val="auto"/>
          <w:sz w:val="24"/>
          <w:szCs w:val="24"/>
          <w:highlight w:val="none"/>
          <w:u w:val="single"/>
        </w:rPr>
        <w:t xml:space="preserve">                                         </w:t>
      </w:r>
    </w:p>
    <w:p w14:paraId="510273F4">
      <w:pPr>
        <w:pStyle w:val="45"/>
        <w:spacing w:line="360" w:lineRule="auto"/>
        <w:ind w:left="25" w:firstLine="472"/>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质疑事项：</w:t>
      </w:r>
    </w:p>
    <w:p w14:paraId="67B0BA95">
      <w:pPr>
        <w:pStyle w:val="45"/>
        <w:spacing w:line="360" w:lineRule="auto"/>
        <w:ind w:left="25" w:firstLine="352"/>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□采购文件   采购文件获取日期：</w:t>
      </w:r>
      <w:r>
        <w:rPr>
          <w:rFonts w:hint="eastAsia" w:ascii="宋体" w:hAnsi="宋体" w:eastAsia="宋体" w:cs="宋体"/>
          <w:bCs/>
          <w:color w:val="auto"/>
          <w:sz w:val="24"/>
          <w:szCs w:val="24"/>
          <w:highlight w:val="none"/>
          <w:u w:val="single"/>
        </w:rPr>
        <w:t xml:space="preserve">                                   </w:t>
      </w:r>
    </w:p>
    <w:p w14:paraId="36D420EF">
      <w:pPr>
        <w:pStyle w:val="45"/>
        <w:spacing w:line="360" w:lineRule="auto"/>
        <w:ind w:left="25" w:firstLine="352"/>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□采购过程   </w:t>
      </w:r>
    </w:p>
    <w:p w14:paraId="3371024F">
      <w:pPr>
        <w:pStyle w:val="45"/>
        <w:spacing w:line="360" w:lineRule="auto"/>
        <w:ind w:left="25" w:firstLine="352"/>
        <w:contextualSpacing/>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□成交结果   </w:t>
      </w:r>
    </w:p>
    <w:p w14:paraId="38942567">
      <w:pPr>
        <w:pStyle w:val="45"/>
        <w:spacing w:line="360" w:lineRule="auto"/>
        <w:ind w:left="25" w:firstLine="472"/>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三、质疑事项具体内容</w:t>
      </w:r>
    </w:p>
    <w:p w14:paraId="0DFD14B9">
      <w:pPr>
        <w:pStyle w:val="45"/>
        <w:spacing w:line="360" w:lineRule="auto"/>
        <w:ind w:left="25" w:firstLine="472"/>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质疑事项1：</w:t>
      </w:r>
      <w:r>
        <w:rPr>
          <w:rFonts w:hint="eastAsia" w:ascii="宋体" w:hAnsi="宋体" w:eastAsia="宋体" w:cs="宋体"/>
          <w:bCs/>
          <w:color w:val="auto"/>
          <w:sz w:val="24"/>
          <w:szCs w:val="24"/>
          <w:highlight w:val="none"/>
          <w:u w:val="single"/>
        </w:rPr>
        <w:t xml:space="preserve">                                                                    </w:t>
      </w:r>
    </w:p>
    <w:p w14:paraId="2D8B0526">
      <w:pPr>
        <w:pStyle w:val="45"/>
        <w:spacing w:line="360" w:lineRule="auto"/>
        <w:ind w:left="25" w:firstLine="472"/>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事实依据：</w:t>
      </w:r>
      <w:r>
        <w:rPr>
          <w:rFonts w:hint="eastAsia" w:ascii="宋体" w:hAnsi="宋体" w:eastAsia="宋体" w:cs="宋体"/>
          <w:bCs/>
          <w:color w:val="auto"/>
          <w:sz w:val="24"/>
          <w:szCs w:val="24"/>
          <w:highlight w:val="none"/>
          <w:u w:val="single"/>
        </w:rPr>
        <w:t xml:space="preserve">                                                                      </w:t>
      </w:r>
    </w:p>
    <w:p w14:paraId="0F10F2FF">
      <w:pPr>
        <w:pStyle w:val="45"/>
        <w:spacing w:line="360" w:lineRule="auto"/>
        <w:ind w:left="25" w:firstLine="472"/>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法律依据：</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u w:val="single"/>
        </w:rPr>
        <w:t xml:space="preserve">               </w:t>
      </w:r>
    </w:p>
    <w:p w14:paraId="76D7AAAE">
      <w:pPr>
        <w:pStyle w:val="45"/>
        <w:spacing w:line="360" w:lineRule="auto"/>
        <w:ind w:left="25" w:firstLine="472"/>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质疑事项2</w:t>
      </w:r>
    </w:p>
    <w:p w14:paraId="14D50050">
      <w:pPr>
        <w:pStyle w:val="45"/>
        <w:spacing w:line="360" w:lineRule="auto"/>
        <w:ind w:left="25" w:firstLine="472"/>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087EF894">
      <w:pPr>
        <w:pStyle w:val="45"/>
        <w:spacing w:line="360" w:lineRule="auto"/>
        <w:ind w:left="25" w:firstLine="472"/>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四、与质疑事项相关的质疑请求：</w:t>
      </w:r>
    </w:p>
    <w:p w14:paraId="5D77A139">
      <w:pPr>
        <w:pStyle w:val="45"/>
        <w:spacing w:line="360" w:lineRule="auto"/>
        <w:ind w:left="25" w:firstLine="472"/>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请求：</w:t>
      </w:r>
      <w:r>
        <w:rPr>
          <w:rFonts w:hint="eastAsia" w:ascii="宋体" w:hAnsi="宋体" w:eastAsia="宋体" w:cs="宋体"/>
          <w:bCs/>
          <w:color w:val="auto"/>
          <w:sz w:val="24"/>
          <w:szCs w:val="24"/>
          <w:highlight w:val="none"/>
          <w:u w:val="single"/>
        </w:rPr>
        <w:t xml:space="preserve">                                                                </w:t>
      </w:r>
    </w:p>
    <w:p w14:paraId="672DFA05">
      <w:pPr>
        <w:pStyle w:val="45"/>
        <w:spacing w:line="360" w:lineRule="auto"/>
        <w:ind w:left="25" w:firstLine="352"/>
        <w:contextualSpacing/>
        <w:rPr>
          <w:rFonts w:hint="eastAsia" w:ascii="宋体" w:hAnsi="宋体" w:eastAsia="宋体" w:cs="宋体"/>
          <w:color w:val="auto"/>
          <w:sz w:val="24"/>
          <w:szCs w:val="24"/>
          <w:highlight w:val="none"/>
        </w:rPr>
      </w:pPr>
    </w:p>
    <w:p w14:paraId="23FCD078">
      <w:pPr>
        <w:pStyle w:val="45"/>
        <w:spacing w:line="360" w:lineRule="auto"/>
        <w:ind w:left="25" w:firstLine="472"/>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签字（签章）：                                       公章：</w:t>
      </w:r>
    </w:p>
    <w:p w14:paraId="2AAD8665">
      <w:pPr>
        <w:pStyle w:val="45"/>
        <w:spacing w:line="360" w:lineRule="auto"/>
        <w:ind w:firstLine="480"/>
        <w:contextualSpacing/>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日期：</w:t>
      </w:r>
    </w:p>
    <w:p w14:paraId="744FD0BB">
      <w:pPr>
        <w:pStyle w:val="45"/>
        <w:spacing w:line="360" w:lineRule="auto"/>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说明：</w:t>
      </w:r>
    </w:p>
    <w:p w14:paraId="5B53F607">
      <w:pPr>
        <w:pStyle w:val="45"/>
        <w:spacing w:line="360" w:lineRule="auto"/>
        <w:ind w:left="25" w:firstLine="354"/>
        <w:contextualSpacing/>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1.供应商提出质疑时，应提交质疑函和必要的证明材料</w:t>
      </w:r>
      <w:r>
        <w:rPr>
          <w:rFonts w:hint="eastAsia" w:ascii="宋体" w:hAnsi="宋体" w:eastAsia="宋体" w:cs="宋体"/>
          <w:b/>
          <w:bCs/>
          <w:color w:val="auto"/>
          <w:sz w:val="24"/>
          <w:szCs w:val="24"/>
          <w:highlight w:val="none"/>
        </w:rPr>
        <w:t>。</w:t>
      </w:r>
    </w:p>
    <w:p w14:paraId="495C9B96">
      <w:pPr>
        <w:pStyle w:val="45"/>
        <w:spacing w:line="360" w:lineRule="auto"/>
        <w:ind w:left="25" w:firstLine="354"/>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1466866">
      <w:pPr>
        <w:pStyle w:val="45"/>
        <w:spacing w:line="360" w:lineRule="auto"/>
        <w:ind w:left="25" w:firstLine="354"/>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3.质疑函的质疑事项应具体、明确，并有必要的事实依据和法律依据。</w:t>
      </w:r>
    </w:p>
    <w:p w14:paraId="4120AB19">
      <w:pPr>
        <w:pStyle w:val="45"/>
        <w:spacing w:line="360" w:lineRule="auto"/>
        <w:ind w:left="25" w:firstLine="354"/>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4.质疑函的质疑请求应与质疑事项相关。</w:t>
      </w:r>
    </w:p>
    <w:p w14:paraId="549AFF53">
      <w:pPr>
        <w:pStyle w:val="45"/>
        <w:spacing w:line="360" w:lineRule="auto"/>
        <w:ind w:left="25" w:firstLine="354"/>
        <w:contextualSpacing/>
        <w:rPr>
          <w:rFonts w:hint="eastAsia" w:ascii="宋体" w:hAnsi="宋体" w:eastAsia="宋体" w:cs="宋体"/>
          <w:b/>
          <w:color w:val="auto"/>
          <w:highlight w:val="none"/>
        </w:rPr>
      </w:pPr>
      <w:r>
        <w:rPr>
          <w:rFonts w:hint="eastAsia" w:ascii="宋体" w:hAnsi="宋体" w:eastAsia="宋体" w:cs="宋体"/>
          <w:b/>
          <w:color w:val="auto"/>
          <w:sz w:val="24"/>
          <w:szCs w:val="24"/>
          <w:highlight w:val="none"/>
        </w:rPr>
        <w:t>5.质疑供应商为法人或者其他组织的，质疑函应由法定代表人、主要负责人，或者其授权代表签字或者盖章，并加盖公章。</w:t>
      </w:r>
    </w:p>
    <w:p w14:paraId="67A0EF75">
      <w:pPr>
        <w:pStyle w:val="45"/>
        <w:rPr>
          <w:rFonts w:hint="eastAsia" w:ascii="宋体" w:hAnsi="宋体" w:eastAsia="宋体" w:cs="宋体"/>
          <w:b/>
          <w:color w:val="auto"/>
          <w:sz w:val="24"/>
          <w:szCs w:val="24"/>
          <w:highlight w:val="none"/>
        </w:rPr>
      </w:pPr>
    </w:p>
    <w:p w14:paraId="22412B83">
      <w:pPr>
        <w:rPr>
          <w:rFonts w:hint="eastAsia" w:ascii="宋体" w:hAnsi="宋体" w:eastAsia="宋体" w:cs="宋体"/>
          <w:color w:val="auto"/>
          <w:sz w:val="32"/>
          <w:szCs w:val="40"/>
          <w:highlight w:val="none"/>
        </w:rPr>
      </w:pPr>
    </w:p>
    <w:p w14:paraId="1B682491">
      <w:pPr>
        <w:rPr>
          <w:rFonts w:hint="eastAsia" w:ascii="宋体" w:hAnsi="宋体" w:eastAsia="宋体" w:cs="宋体"/>
          <w:color w:val="auto"/>
          <w:sz w:val="32"/>
          <w:szCs w:val="40"/>
          <w:highlight w:val="none"/>
        </w:rPr>
      </w:pPr>
    </w:p>
    <w:p w14:paraId="0E0AF004">
      <w:pPr>
        <w:rPr>
          <w:rFonts w:hint="eastAsia" w:ascii="宋体" w:hAnsi="宋体" w:eastAsia="宋体" w:cs="宋体"/>
          <w:color w:val="auto"/>
          <w:sz w:val="32"/>
          <w:szCs w:val="40"/>
          <w:highlight w:val="none"/>
        </w:rPr>
      </w:pPr>
    </w:p>
    <w:p w14:paraId="42159857">
      <w:pPr>
        <w:rPr>
          <w:rFonts w:hint="eastAsia" w:ascii="宋体" w:hAnsi="宋体" w:eastAsia="宋体" w:cs="宋体"/>
          <w:color w:val="auto"/>
          <w:sz w:val="32"/>
          <w:szCs w:val="40"/>
          <w:highlight w:val="none"/>
        </w:rPr>
      </w:pPr>
    </w:p>
    <w:p w14:paraId="647AABE2">
      <w:pPr>
        <w:rPr>
          <w:rFonts w:hint="eastAsia" w:ascii="宋体" w:hAnsi="宋体" w:eastAsia="宋体" w:cs="宋体"/>
          <w:color w:val="auto"/>
          <w:sz w:val="32"/>
          <w:szCs w:val="40"/>
          <w:highlight w:val="none"/>
        </w:rPr>
      </w:pPr>
    </w:p>
    <w:p w14:paraId="7210802D">
      <w:pPr>
        <w:rPr>
          <w:rFonts w:hint="eastAsia" w:ascii="宋体" w:hAnsi="宋体" w:eastAsia="宋体" w:cs="宋体"/>
          <w:color w:val="auto"/>
          <w:sz w:val="32"/>
          <w:szCs w:val="40"/>
          <w:highlight w:val="none"/>
        </w:rPr>
      </w:pPr>
    </w:p>
    <w:p w14:paraId="56DD9BE2">
      <w:pPr>
        <w:rPr>
          <w:rFonts w:hint="eastAsia" w:ascii="宋体" w:hAnsi="宋体" w:eastAsia="宋体" w:cs="宋体"/>
          <w:color w:val="auto"/>
          <w:sz w:val="32"/>
          <w:szCs w:val="40"/>
          <w:highlight w:val="none"/>
        </w:rPr>
      </w:pPr>
    </w:p>
    <w:p w14:paraId="0A8E4F6B">
      <w:pPr>
        <w:rPr>
          <w:rFonts w:hint="eastAsia" w:ascii="宋体" w:hAnsi="宋体" w:eastAsia="宋体" w:cs="宋体"/>
          <w:color w:val="auto"/>
          <w:sz w:val="32"/>
          <w:szCs w:val="40"/>
          <w:highlight w:val="none"/>
        </w:rPr>
      </w:pPr>
    </w:p>
    <w:p w14:paraId="7CBB2550">
      <w:pPr>
        <w:rPr>
          <w:rFonts w:hint="eastAsia" w:ascii="宋体" w:hAnsi="宋体" w:eastAsia="宋体" w:cs="宋体"/>
          <w:color w:val="auto"/>
          <w:sz w:val="32"/>
          <w:szCs w:val="40"/>
          <w:highlight w:val="none"/>
        </w:rPr>
      </w:pPr>
    </w:p>
    <w:p w14:paraId="3594ED6F">
      <w:pPr>
        <w:rPr>
          <w:rFonts w:hint="eastAsia" w:ascii="宋体" w:hAnsi="宋体" w:eastAsia="宋体" w:cs="宋体"/>
          <w:color w:val="auto"/>
          <w:sz w:val="32"/>
          <w:szCs w:val="40"/>
          <w:highlight w:val="none"/>
        </w:rPr>
      </w:pPr>
    </w:p>
    <w:p w14:paraId="48310F5A">
      <w:pPr>
        <w:rPr>
          <w:rFonts w:hint="eastAsia" w:ascii="宋体" w:hAnsi="宋体" w:eastAsia="宋体" w:cs="宋体"/>
          <w:color w:val="auto"/>
          <w:sz w:val="32"/>
          <w:szCs w:val="40"/>
          <w:highlight w:val="none"/>
        </w:rPr>
      </w:pPr>
    </w:p>
    <w:p w14:paraId="63292EE2">
      <w:pPr>
        <w:rPr>
          <w:rFonts w:hint="eastAsia" w:ascii="宋体" w:hAnsi="宋体" w:eastAsia="宋体" w:cs="宋体"/>
          <w:color w:val="auto"/>
          <w:sz w:val="32"/>
          <w:szCs w:val="40"/>
          <w:highlight w:val="none"/>
        </w:rPr>
      </w:pPr>
    </w:p>
    <w:p w14:paraId="6CA5FD95">
      <w:pPr>
        <w:rPr>
          <w:rFonts w:hint="eastAsia" w:ascii="宋体" w:hAnsi="宋体" w:eastAsia="宋体" w:cs="宋体"/>
          <w:color w:val="auto"/>
          <w:sz w:val="32"/>
          <w:szCs w:val="40"/>
          <w:highlight w:val="none"/>
        </w:rPr>
      </w:pPr>
    </w:p>
    <w:p w14:paraId="487B143A">
      <w:pPr>
        <w:pStyle w:val="217"/>
        <w:rPr>
          <w:rFonts w:hint="eastAsia" w:ascii="宋体" w:hAnsi="宋体" w:eastAsia="宋体" w:cs="宋体"/>
          <w:color w:val="auto"/>
          <w:sz w:val="32"/>
          <w:szCs w:val="40"/>
          <w:highlight w:val="none"/>
        </w:rPr>
      </w:pPr>
    </w:p>
    <w:p w14:paraId="551ADDA8">
      <w:pPr>
        <w:rPr>
          <w:rFonts w:hint="eastAsia" w:ascii="宋体" w:hAnsi="宋体" w:eastAsia="宋体" w:cs="宋体"/>
          <w:color w:val="auto"/>
          <w:sz w:val="32"/>
          <w:szCs w:val="40"/>
          <w:highlight w:val="none"/>
        </w:rPr>
      </w:pPr>
    </w:p>
    <w:p w14:paraId="332CA093">
      <w:pPr>
        <w:spacing w:line="360" w:lineRule="auto"/>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rPr>
          <w:rFonts w:hint="eastAsia" w:ascii="宋体" w:hAnsi="宋体" w:eastAsia="宋体" w:cs="宋体"/>
          <w:color w:val="auto"/>
          <w:sz w:val="44"/>
          <w:szCs w:val="44"/>
          <w:highlight w:val="none"/>
        </w:rPr>
        <w:t>投诉书（格式）</w:t>
      </w:r>
    </w:p>
    <w:p w14:paraId="7946FFBE">
      <w:pPr>
        <w:pStyle w:val="45"/>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一、投诉相关主体基本情况：</w:t>
      </w:r>
    </w:p>
    <w:p w14:paraId="128753D6">
      <w:pPr>
        <w:pStyle w:val="45"/>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供应商：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34DFD9CA">
      <w:pPr>
        <w:pStyle w:val="45"/>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地址：</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邮编：</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15049562">
      <w:pPr>
        <w:pStyle w:val="45"/>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法定代表人/主要负责人：</w:t>
      </w:r>
      <w:r>
        <w:rPr>
          <w:rFonts w:hint="eastAsia" w:ascii="宋体" w:hAnsi="宋体" w:eastAsia="宋体" w:cs="宋体"/>
          <w:bCs/>
          <w:color w:val="auto"/>
          <w:sz w:val="24"/>
          <w:szCs w:val="24"/>
          <w:highlight w:val="none"/>
          <w:u w:val="single"/>
        </w:rPr>
        <w:t xml:space="preserve">                                                         </w:t>
      </w:r>
    </w:p>
    <w:p w14:paraId="4509BBE3">
      <w:pPr>
        <w:pStyle w:val="45"/>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联系电话：</w:t>
      </w:r>
      <w:r>
        <w:rPr>
          <w:rFonts w:hint="eastAsia" w:ascii="宋体" w:hAnsi="宋体" w:eastAsia="宋体" w:cs="宋体"/>
          <w:bCs/>
          <w:color w:val="auto"/>
          <w:sz w:val="24"/>
          <w:szCs w:val="24"/>
          <w:highlight w:val="none"/>
          <w:u w:val="single"/>
        </w:rPr>
        <w:t xml:space="preserve">                                         </w:t>
      </w:r>
    </w:p>
    <w:p w14:paraId="3581451F">
      <w:pPr>
        <w:pStyle w:val="45"/>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授权代表：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联系电话：</w:t>
      </w:r>
      <w:r>
        <w:rPr>
          <w:rFonts w:hint="eastAsia" w:ascii="宋体" w:hAnsi="宋体" w:eastAsia="宋体" w:cs="宋体"/>
          <w:bCs/>
          <w:color w:val="auto"/>
          <w:sz w:val="24"/>
          <w:szCs w:val="24"/>
          <w:highlight w:val="none"/>
          <w:u w:val="single"/>
        </w:rPr>
        <w:t xml:space="preserve">                   </w:t>
      </w:r>
    </w:p>
    <w:p w14:paraId="0038B8A3">
      <w:pPr>
        <w:pStyle w:val="45"/>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地址：</w:t>
      </w:r>
      <w:r>
        <w:rPr>
          <w:rFonts w:hint="eastAsia" w:ascii="宋体" w:hAnsi="宋体" w:eastAsia="宋体" w:cs="宋体"/>
          <w:bCs/>
          <w:color w:val="auto"/>
          <w:sz w:val="24"/>
          <w:szCs w:val="24"/>
          <w:highlight w:val="none"/>
          <w:u w:val="single"/>
        </w:rPr>
        <w:t xml:space="preserve">                                                            </w:t>
      </w:r>
    </w:p>
    <w:p w14:paraId="33715994">
      <w:pPr>
        <w:pStyle w:val="45"/>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邮编：</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3342E14A">
      <w:pPr>
        <w:pStyle w:val="45"/>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被投诉人1：</w:t>
      </w:r>
    </w:p>
    <w:p w14:paraId="49C49BA5">
      <w:pPr>
        <w:pStyle w:val="45"/>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地址：</w:t>
      </w:r>
      <w:r>
        <w:rPr>
          <w:rFonts w:hint="eastAsia" w:ascii="宋体" w:hAnsi="宋体" w:eastAsia="宋体" w:cs="宋体"/>
          <w:bCs/>
          <w:color w:val="auto"/>
          <w:sz w:val="24"/>
          <w:szCs w:val="24"/>
          <w:highlight w:val="none"/>
          <w:u w:val="single"/>
        </w:rPr>
        <w:t xml:space="preserve">                                                            </w:t>
      </w:r>
    </w:p>
    <w:p w14:paraId="27F5C48D">
      <w:pPr>
        <w:pStyle w:val="45"/>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邮编：</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2B886F23">
      <w:pPr>
        <w:pStyle w:val="45"/>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联系人：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联系电话：</w:t>
      </w:r>
      <w:r>
        <w:rPr>
          <w:rFonts w:hint="eastAsia" w:ascii="宋体" w:hAnsi="宋体" w:eastAsia="宋体" w:cs="宋体"/>
          <w:bCs/>
          <w:color w:val="auto"/>
          <w:sz w:val="24"/>
          <w:szCs w:val="24"/>
          <w:highlight w:val="none"/>
          <w:u w:val="single"/>
        </w:rPr>
        <w:t xml:space="preserve">                </w:t>
      </w:r>
    </w:p>
    <w:p w14:paraId="0C8CD980">
      <w:pPr>
        <w:pStyle w:val="45"/>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被投诉人2：</w:t>
      </w:r>
    </w:p>
    <w:p w14:paraId="2F5E5B38">
      <w:pPr>
        <w:pStyle w:val="45"/>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7CB6547C">
      <w:pPr>
        <w:pStyle w:val="45"/>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相关供应商：</w:t>
      </w:r>
      <w:r>
        <w:rPr>
          <w:rFonts w:hint="eastAsia" w:ascii="宋体" w:hAnsi="宋体" w:eastAsia="宋体" w:cs="宋体"/>
          <w:bCs/>
          <w:color w:val="auto"/>
          <w:sz w:val="24"/>
          <w:szCs w:val="24"/>
          <w:highlight w:val="none"/>
          <w:u w:val="single"/>
        </w:rPr>
        <w:t xml:space="preserve">                                                                       </w:t>
      </w:r>
    </w:p>
    <w:p w14:paraId="357279A8">
      <w:pPr>
        <w:pStyle w:val="45"/>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地址：</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邮编：</w:t>
      </w:r>
      <w:r>
        <w:rPr>
          <w:rFonts w:hint="eastAsia" w:ascii="宋体" w:hAnsi="宋体" w:eastAsia="宋体" w:cs="宋体"/>
          <w:bCs/>
          <w:color w:val="auto"/>
          <w:sz w:val="24"/>
          <w:szCs w:val="24"/>
          <w:highlight w:val="none"/>
          <w:u w:val="single"/>
        </w:rPr>
        <w:t xml:space="preserve">                         </w:t>
      </w:r>
    </w:p>
    <w:p w14:paraId="4CB2B303">
      <w:pPr>
        <w:pStyle w:val="45"/>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联系电话：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42F81FB5">
      <w:pPr>
        <w:pStyle w:val="45"/>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二、投诉项目基本情况：</w:t>
      </w:r>
    </w:p>
    <w:p w14:paraId="634F39AA">
      <w:pPr>
        <w:pStyle w:val="45"/>
        <w:spacing w:line="360" w:lineRule="auto"/>
        <w:ind w:left="25" w:firstLine="472"/>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采购</w:t>
      </w:r>
      <w:r>
        <w:rPr>
          <w:rFonts w:hint="eastAsia" w:ascii="宋体" w:hAnsi="宋体" w:eastAsia="宋体" w:cs="宋体"/>
          <w:color w:val="auto"/>
          <w:sz w:val="24"/>
          <w:szCs w:val="24"/>
          <w:highlight w:val="none"/>
        </w:rPr>
        <w:t>项目的名称：</w:t>
      </w:r>
      <w:r>
        <w:rPr>
          <w:rFonts w:hint="eastAsia" w:ascii="宋体" w:hAnsi="宋体" w:eastAsia="宋体" w:cs="宋体"/>
          <w:bCs/>
          <w:color w:val="auto"/>
          <w:sz w:val="24"/>
          <w:szCs w:val="24"/>
          <w:highlight w:val="none"/>
          <w:u w:val="single"/>
        </w:rPr>
        <w:t xml:space="preserve">                                                                   </w:t>
      </w:r>
    </w:p>
    <w:p w14:paraId="17B21C18">
      <w:pPr>
        <w:pStyle w:val="45"/>
        <w:spacing w:line="360" w:lineRule="auto"/>
        <w:ind w:left="25" w:firstLine="472"/>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采购</w:t>
      </w:r>
      <w:r>
        <w:rPr>
          <w:rFonts w:hint="eastAsia" w:ascii="宋体" w:hAnsi="宋体" w:eastAsia="宋体" w:cs="宋体"/>
          <w:color w:val="auto"/>
          <w:sz w:val="24"/>
          <w:szCs w:val="24"/>
          <w:highlight w:val="none"/>
        </w:rPr>
        <w:t>项目的编号：</w:t>
      </w:r>
      <w:r>
        <w:rPr>
          <w:rFonts w:hint="eastAsia" w:ascii="宋体" w:hAnsi="宋体" w:eastAsia="宋体" w:cs="宋体"/>
          <w:bCs/>
          <w:color w:val="auto"/>
          <w:sz w:val="24"/>
          <w:szCs w:val="24"/>
          <w:highlight w:val="none"/>
          <w:u w:val="single"/>
        </w:rPr>
        <w:t xml:space="preserve">                                          </w:t>
      </w:r>
    </w:p>
    <w:p w14:paraId="34FBEC5B">
      <w:pPr>
        <w:pStyle w:val="45"/>
        <w:spacing w:line="360" w:lineRule="auto"/>
        <w:ind w:left="25" w:firstLine="472"/>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采购人名称：</w:t>
      </w:r>
      <w:r>
        <w:rPr>
          <w:rFonts w:hint="eastAsia" w:ascii="宋体" w:hAnsi="宋体" w:eastAsia="宋体" w:cs="宋体"/>
          <w:bCs/>
          <w:color w:val="auto"/>
          <w:sz w:val="24"/>
          <w:szCs w:val="24"/>
          <w:highlight w:val="none"/>
          <w:u w:val="single"/>
        </w:rPr>
        <w:t xml:space="preserve">                                                                        </w:t>
      </w:r>
    </w:p>
    <w:p w14:paraId="32A41A4E">
      <w:pPr>
        <w:pStyle w:val="45"/>
        <w:spacing w:line="360" w:lineRule="auto"/>
        <w:ind w:left="25" w:firstLine="472"/>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代理机构名称：</w:t>
      </w:r>
      <w:r>
        <w:rPr>
          <w:rFonts w:hint="eastAsia" w:ascii="宋体" w:hAnsi="宋体" w:eastAsia="宋体" w:cs="宋体"/>
          <w:bCs/>
          <w:color w:val="auto"/>
          <w:sz w:val="24"/>
          <w:szCs w:val="24"/>
          <w:highlight w:val="none"/>
          <w:u w:val="single"/>
        </w:rPr>
        <w:t xml:space="preserve">                                                                      </w:t>
      </w:r>
    </w:p>
    <w:p w14:paraId="150E517B">
      <w:pPr>
        <w:pStyle w:val="45"/>
        <w:spacing w:line="360" w:lineRule="auto"/>
        <w:ind w:left="25" w:firstLine="472"/>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采购文件公告：</w:t>
      </w:r>
      <w:r>
        <w:rPr>
          <w:rFonts w:hint="eastAsia" w:ascii="宋体" w:hAnsi="宋体" w:eastAsia="宋体" w:cs="宋体"/>
          <w:bCs/>
          <w:color w:val="auto"/>
          <w:sz w:val="24"/>
          <w:szCs w:val="24"/>
          <w:highlight w:val="none"/>
          <w:u w:val="single"/>
        </w:rPr>
        <w:t>是/否</w:t>
      </w:r>
      <w:r>
        <w:rPr>
          <w:rFonts w:hint="eastAsia" w:ascii="宋体" w:hAnsi="宋体" w:eastAsia="宋体" w:cs="宋体"/>
          <w:bCs/>
          <w:color w:val="auto"/>
          <w:sz w:val="24"/>
          <w:szCs w:val="24"/>
          <w:highlight w:val="none"/>
        </w:rPr>
        <w:t>公告期限：</w:t>
      </w:r>
      <w:r>
        <w:rPr>
          <w:rFonts w:hint="eastAsia" w:ascii="宋体" w:hAnsi="宋体" w:eastAsia="宋体" w:cs="宋体"/>
          <w:bCs/>
          <w:color w:val="auto"/>
          <w:sz w:val="24"/>
          <w:szCs w:val="24"/>
          <w:highlight w:val="none"/>
          <w:u w:val="single"/>
        </w:rPr>
        <w:t xml:space="preserve">                                                       </w:t>
      </w:r>
    </w:p>
    <w:p w14:paraId="490BD3B5">
      <w:pPr>
        <w:pStyle w:val="45"/>
        <w:spacing w:line="360" w:lineRule="auto"/>
        <w:ind w:left="25" w:firstLine="472"/>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采购结果公告：</w:t>
      </w:r>
      <w:r>
        <w:rPr>
          <w:rFonts w:hint="eastAsia" w:ascii="宋体" w:hAnsi="宋体" w:eastAsia="宋体" w:cs="宋体"/>
          <w:bCs/>
          <w:color w:val="auto"/>
          <w:sz w:val="24"/>
          <w:szCs w:val="24"/>
          <w:highlight w:val="none"/>
          <w:u w:val="single"/>
        </w:rPr>
        <w:t>是/否</w:t>
      </w:r>
      <w:r>
        <w:rPr>
          <w:rFonts w:hint="eastAsia" w:ascii="宋体" w:hAnsi="宋体" w:eastAsia="宋体" w:cs="宋体"/>
          <w:bCs/>
          <w:color w:val="auto"/>
          <w:sz w:val="24"/>
          <w:szCs w:val="24"/>
          <w:highlight w:val="none"/>
        </w:rPr>
        <w:t>公告期限：</w:t>
      </w:r>
      <w:r>
        <w:rPr>
          <w:rFonts w:hint="eastAsia" w:ascii="宋体" w:hAnsi="宋体" w:eastAsia="宋体" w:cs="宋体"/>
          <w:bCs/>
          <w:color w:val="auto"/>
          <w:sz w:val="24"/>
          <w:szCs w:val="24"/>
          <w:highlight w:val="none"/>
          <w:u w:val="single"/>
        </w:rPr>
        <w:t xml:space="preserve">                                                       </w:t>
      </w:r>
    </w:p>
    <w:p w14:paraId="23A7D16B">
      <w:pPr>
        <w:pStyle w:val="45"/>
        <w:spacing w:line="360" w:lineRule="auto"/>
        <w:ind w:left="25" w:firstLine="47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三、质疑基本情况</w:t>
      </w:r>
    </w:p>
    <w:p w14:paraId="0416208D">
      <w:pPr>
        <w:pStyle w:val="45"/>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投诉人于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提出质疑，质疑事项为：</w:t>
      </w:r>
    </w:p>
    <w:p w14:paraId="6325A048">
      <w:pPr>
        <w:pStyle w:val="45"/>
        <w:spacing w:line="360" w:lineRule="auto"/>
        <w:ind w:firstLine="241"/>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u w:val="single"/>
        </w:rPr>
        <w:t xml:space="preserve">                                                                                      </w:t>
      </w:r>
    </w:p>
    <w:p w14:paraId="001D5A7B">
      <w:pPr>
        <w:pStyle w:val="45"/>
        <w:spacing w:line="360" w:lineRule="auto"/>
        <w:ind w:firstLine="241"/>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u w:val="single"/>
        </w:rPr>
        <w:t xml:space="preserve">                                                                                      </w:t>
      </w:r>
    </w:p>
    <w:p w14:paraId="77251B4B">
      <w:pPr>
        <w:pStyle w:val="45"/>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采购人/代理机构</w:t>
      </w:r>
      <w:r>
        <w:rPr>
          <w:rFonts w:hint="eastAsia" w:ascii="宋体" w:hAnsi="宋体" w:eastAsia="宋体" w:cs="宋体"/>
          <w:bCs/>
          <w:color w:val="auto"/>
          <w:sz w:val="24"/>
          <w:szCs w:val="24"/>
          <w:highlight w:val="none"/>
        </w:rPr>
        <w:t>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r>
        <w:rPr>
          <w:rFonts w:hint="eastAsia" w:ascii="宋体" w:hAnsi="宋体" w:eastAsia="宋体" w:cs="宋体"/>
          <w:bCs/>
          <w:color w:val="auto"/>
          <w:sz w:val="24"/>
          <w:szCs w:val="24"/>
          <w:highlight w:val="none"/>
        </w:rPr>
        <w:t xml:space="preserve">就质疑事项作出了答复/没有在法定期限内作出答复。                                                                                             </w:t>
      </w:r>
    </w:p>
    <w:p w14:paraId="44D71579">
      <w:pPr>
        <w:pStyle w:val="45"/>
        <w:spacing w:line="360" w:lineRule="auto"/>
        <w:ind w:left="25" w:firstLine="47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四、投诉事项具体内容</w:t>
      </w:r>
    </w:p>
    <w:p w14:paraId="05CA720A">
      <w:pPr>
        <w:pStyle w:val="45"/>
        <w:spacing w:line="360" w:lineRule="auto"/>
        <w:ind w:left="25" w:firstLine="472"/>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投诉事项1：</w:t>
      </w:r>
      <w:r>
        <w:rPr>
          <w:rFonts w:hint="eastAsia" w:ascii="宋体" w:hAnsi="宋体" w:eastAsia="宋体" w:cs="宋体"/>
          <w:bCs/>
          <w:color w:val="auto"/>
          <w:sz w:val="24"/>
          <w:szCs w:val="24"/>
          <w:highlight w:val="none"/>
          <w:u w:val="single"/>
        </w:rPr>
        <w:t xml:space="preserve">                                                                           </w:t>
      </w:r>
    </w:p>
    <w:p w14:paraId="20030C10">
      <w:pPr>
        <w:pStyle w:val="45"/>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事实依据：</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u w:val="single"/>
        </w:rPr>
        <w:t xml:space="preserve">                                                                                      </w:t>
      </w:r>
    </w:p>
    <w:p w14:paraId="2FDA4C5D">
      <w:pPr>
        <w:pStyle w:val="45"/>
        <w:spacing w:line="360" w:lineRule="auto"/>
        <w:ind w:left="25" w:firstLine="472"/>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p>
    <w:p w14:paraId="72FEBA8C">
      <w:pPr>
        <w:pStyle w:val="45"/>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法律依据：</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u w:val="single"/>
        </w:rPr>
        <w:t xml:space="preserve">                                                                                      </w:t>
      </w:r>
    </w:p>
    <w:p w14:paraId="350ADDE9">
      <w:pPr>
        <w:pStyle w:val="45"/>
        <w:spacing w:line="360" w:lineRule="auto"/>
        <w:ind w:left="25" w:firstLine="352"/>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u w:val="single"/>
        </w:rPr>
        <w:t xml:space="preserve">                                                                                        </w:t>
      </w:r>
    </w:p>
    <w:p w14:paraId="12CFD468">
      <w:pPr>
        <w:pStyle w:val="45"/>
        <w:spacing w:line="360" w:lineRule="auto"/>
        <w:ind w:left="25" w:firstLine="472"/>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投诉事项2  </w:t>
      </w:r>
      <w:r>
        <w:rPr>
          <w:rFonts w:hint="eastAsia" w:ascii="宋体" w:hAnsi="宋体" w:eastAsia="宋体" w:cs="宋体"/>
          <w:bCs/>
          <w:color w:val="auto"/>
          <w:sz w:val="24"/>
          <w:szCs w:val="24"/>
          <w:highlight w:val="none"/>
        </w:rPr>
        <w:t xml:space="preserve">   </w:t>
      </w:r>
    </w:p>
    <w:p w14:paraId="73883EF4">
      <w:pPr>
        <w:pStyle w:val="45"/>
        <w:spacing w:line="360" w:lineRule="auto"/>
        <w:ind w:left="25" w:firstLine="47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0D99667E">
      <w:pPr>
        <w:pStyle w:val="45"/>
        <w:spacing w:line="360" w:lineRule="auto"/>
        <w:ind w:left="25" w:firstLine="47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五、与投诉事项相关的投诉请求：</w:t>
      </w:r>
    </w:p>
    <w:p w14:paraId="6E936400">
      <w:pPr>
        <w:pStyle w:val="45"/>
        <w:spacing w:line="360" w:lineRule="auto"/>
        <w:ind w:left="25" w:firstLine="47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请求：</w:t>
      </w:r>
      <w:r>
        <w:rPr>
          <w:rFonts w:hint="eastAsia" w:ascii="宋体" w:hAnsi="宋体" w:eastAsia="宋体" w:cs="宋体"/>
          <w:bCs/>
          <w:color w:val="auto"/>
          <w:sz w:val="24"/>
          <w:szCs w:val="24"/>
          <w:highlight w:val="none"/>
          <w:u w:val="single"/>
        </w:rPr>
        <w:t xml:space="preserve">                                                                                 </w:t>
      </w:r>
    </w:p>
    <w:p w14:paraId="115C2BB5">
      <w:pPr>
        <w:pStyle w:val="45"/>
        <w:spacing w:line="360" w:lineRule="auto"/>
        <w:ind w:left="25" w:firstLine="352"/>
        <w:rPr>
          <w:rFonts w:hint="eastAsia" w:ascii="宋体" w:hAnsi="宋体" w:eastAsia="宋体" w:cs="宋体"/>
          <w:color w:val="auto"/>
          <w:sz w:val="24"/>
          <w:szCs w:val="24"/>
          <w:highlight w:val="none"/>
        </w:rPr>
      </w:pPr>
    </w:p>
    <w:p w14:paraId="31D799E4">
      <w:pPr>
        <w:pStyle w:val="45"/>
        <w:spacing w:line="360" w:lineRule="auto"/>
        <w:ind w:left="25" w:firstLine="47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签字（签章）：                                       公章：</w:t>
      </w:r>
    </w:p>
    <w:p w14:paraId="6E3F7A2E">
      <w:pPr>
        <w:pStyle w:val="45"/>
        <w:spacing w:line="360" w:lineRule="auto"/>
        <w:ind w:left="25" w:firstLine="352"/>
        <w:rPr>
          <w:rFonts w:hint="eastAsia" w:ascii="宋体" w:hAnsi="宋体" w:eastAsia="宋体" w:cs="宋体"/>
          <w:color w:val="auto"/>
          <w:sz w:val="24"/>
          <w:szCs w:val="24"/>
          <w:highlight w:val="none"/>
        </w:rPr>
      </w:pPr>
    </w:p>
    <w:p w14:paraId="34B81FF6">
      <w:pPr>
        <w:pStyle w:val="45"/>
        <w:spacing w:line="360" w:lineRule="auto"/>
        <w:ind w:left="25" w:firstLine="47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698B4EAD">
      <w:pPr>
        <w:pStyle w:val="45"/>
        <w:spacing w:line="360" w:lineRule="auto"/>
        <w:ind w:left="25" w:firstLine="472"/>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                                                                                 </w:t>
      </w:r>
    </w:p>
    <w:p w14:paraId="6DF0D63A">
      <w:pPr>
        <w:pStyle w:val="45"/>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说明：</w:t>
      </w:r>
    </w:p>
    <w:p w14:paraId="63F42BDF">
      <w:pPr>
        <w:pStyle w:val="45"/>
        <w:spacing w:line="360" w:lineRule="auto"/>
        <w:ind w:left="25" w:firstLine="354"/>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1.投诉人提起投诉时，应当提交投诉书和必要的证明材料，并按照被投诉人和与投诉事项有关的供应商数量提供投诉书副本</w:t>
      </w:r>
      <w:r>
        <w:rPr>
          <w:rFonts w:hint="eastAsia" w:ascii="宋体" w:hAnsi="宋体" w:eastAsia="宋体" w:cs="宋体"/>
          <w:b/>
          <w:bCs/>
          <w:color w:val="auto"/>
          <w:sz w:val="24"/>
          <w:szCs w:val="24"/>
          <w:highlight w:val="none"/>
        </w:rPr>
        <w:t>。</w:t>
      </w:r>
    </w:p>
    <w:p w14:paraId="5F50B68F">
      <w:pPr>
        <w:pStyle w:val="45"/>
        <w:spacing w:line="360" w:lineRule="auto"/>
        <w:ind w:left="25" w:firstLine="35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投诉人若委托代理人进行投诉的，投诉书应按要求列明“授权代表”的有关内容，并在附件中提交由投诉人签署的授权委托书。授权委托书应当载明代理人的姓名或者名称、代理事项、具体权限、期限和相关事项。</w:t>
      </w:r>
    </w:p>
    <w:p w14:paraId="32594F72">
      <w:pPr>
        <w:pStyle w:val="45"/>
        <w:spacing w:line="360" w:lineRule="auto"/>
        <w:ind w:left="25" w:firstLine="35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3.投诉书应简要列明质疑事项，质疑函、质疑答复等作为附件材料提供。</w:t>
      </w:r>
    </w:p>
    <w:p w14:paraId="2EBB0298">
      <w:pPr>
        <w:pStyle w:val="45"/>
        <w:spacing w:line="360" w:lineRule="auto"/>
        <w:ind w:left="25" w:firstLine="35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4.投诉书的投诉事项应具体、明确，并有必要的事实依据和法律依据。</w:t>
      </w:r>
    </w:p>
    <w:p w14:paraId="1231D75C">
      <w:pPr>
        <w:pStyle w:val="45"/>
        <w:spacing w:line="360" w:lineRule="auto"/>
        <w:ind w:left="25" w:firstLine="35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5.投诉书的投诉请求应与投诉事项相关。</w:t>
      </w:r>
    </w:p>
    <w:p w14:paraId="4D92FE53">
      <w:pPr>
        <w:pStyle w:val="45"/>
        <w:spacing w:line="360" w:lineRule="auto"/>
        <w:ind w:left="25" w:firstLine="35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6.投诉人为法人或者其他组织的，投诉书应由法定代表人、主要负责人，或者其授权代表签字或者盖章，并加盖公章。</w:t>
      </w:r>
    </w:p>
    <w:p w14:paraId="1C2477E9">
      <w:pPr>
        <w:rPr>
          <w:rFonts w:hint="eastAsia" w:ascii="宋体" w:hAnsi="宋体" w:eastAsia="宋体" w:cs="宋体"/>
          <w:b/>
          <w:color w:val="auto"/>
          <w:sz w:val="24"/>
          <w:highlight w:val="none"/>
        </w:rPr>
      </w:pPr>
    </w:p>
    <w:p w14:paraId="2DD68A1C">
      <w:pPr>
        <w:spacing w:before="156" w:after="50"/>
        <w:jc w:val="center"/>
        <w:rPr>
          <w:rFonts w:hint="eastAsia" w:ascii="宋体" w:hAnsi="宋体" w:eastAsia="宋体" w:cs="宋体"/>
          <w:bCs/>
          <w:color w:val="auto"/>
          <w:sz w:val="44"/>
          <w:szCs w:val="44"/>
          <w:highlight w:val="none"/>
        </w:rPr>
      </w:pPr>
      <w:r>
        <w:rPr>
          <w:rFonts w:hint="eastAsia" w:ascii="宋体" w:hAnsi="宋体" w:eastAsia="宋体" w:cs="宋体"/>
          <w:color w:val="auto"/>
          <w:highlight w:val="none"/>
        </w:rPr>
        <w:br w:type="page" w:clear="all"/>
      </w:r>
      <w:r>
        <w:rPr>
          <w:rFonts w:hint="eastAsia" w:ascii="宋体" w:hAnsi="宋体" w:eastAsia="宋体" w:cs="宋体"/>
          <w:b/>
          <w:bCs w:val="0"/>
          <w:color w:val="auto"/>
          <w:sz w:val="44"/>
          <w:szCs w:val="44"/>
          <w:highlight w:val="none"/>
        </w:rPr>
        <w:t>代理服务费承诺书</w:t>
      </w:r>
    </w:p>
    <w:p w14:paraId="5082519A">
      <w:pPr>
        <w:spacing w:before="156" w:after="50"/>
        <w:jc w:val="center"/>
        <w:rPr>
          <w:rFonts w:hint="eastAsia" w:ascii="宋体" w:hAnsi="宋体" w:eastAsia="宋体" w:cs="宋体"/>
          <w:b/>
          <w:color w:val="auto"/>
          <w:sz w:val="24"/>
          <w:highlight w:val="none"/>
        </w:rPr>
      </w:pPr>
    </w:p>
    <w:p w14:paraId="0D94917B">
      <w:pPr>
        <w:spacing w:line="360" w:lineRule="auto"/>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致：</w:t>
      </w:r>
      <w:r>
        <w:rPr>
          <w:rFonts w:hint="eastAsia" w:ascii="宋体" w:hAnsi="宋体" w:eastAsia="宋体" w:cs="宋体"/>
          <w:color w:val="auto"/>
          <w:sz w:val="24"/>
          <w:highlight w:val="none"/>
          <w:u w:val="single"/>
        </w:rPr>
        <w:t>采购代理机构名称</w:t>
      </w:r>
      <w:r>
        <w:rPr>
          <w:rFonts w:hint="eastAsia" w:ascii="宋体" w:hAnsi="宋体" w:eastAsia="宋体" w:cs="宋体"/>
          <w:color w:val="auto"/>
          <w:sz w:val="24"/>
          <w:highlight w:val="none"/>
        </w:rPr>
        <w:t>：</w:t>
      </w:r>
    </w:p>
    <w:p w14:paraId="43124DD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本单位参加了贵方组织的</w:t>
      </w:r>
      <w:r>
        <w:rPr>
          <w:rFonts w:hint="eastAsia" w:ascii="宋体" w:hAnsi="宋体" w:eastAsia="宋体" w:cs="宋体"/>
          <w:color w:val="auto"/>
          <w:sz w:val="24"/>
          <w:highlight w:val="none"/>
          <w:u w:val="single"/>
        </w:rPr>
        <w:t xml:space="preserve">  项目名称（项目编号）          </w:t>
      </w:r>
      <w:r>
        <w:rPr>
          <w:rFonts w:hint="eastAsia" w:ascii="宋体" w:hAnsi="宋体" w:eastAsia="宋体" w:cs="宋体"/>
          <w:color w:val="auto"/>
          <w:sz w:val="24"/>
          <w:highlight w:val="none"/>
        </w:rPr>
        <w:t>项目， 在此说明如下：</w:t>
      </w:r>
    </w:p>
    <w:p w14:paraId="40878EB4">
      <w:pPr>
        <w:spacing w:line="440" w:lineRule="exac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1.我方承诺，若本单位成交，保证在发出成交通知书之后，按本项目竞争性磋商的规定标准向贵单位一次性足额支付代理服务费。</w:t>
      </w:r>
    </w:p>
    <w:p w14:paraId="28F71D31">
      <w:pPr>
        <w:spacing w:line="440" w:lineRule="exac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2.本单位选择第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种方式作为代理服务费开票类型：</w:t>
      </w:r>
    </w:p>
    <w:p w14:paraId="5DE769C1">
      <w:pPr>
        <w:spacing w:line="440" w:lineRule="exac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第一种方式：开具增值税普通发票。开票信息如下：</w:t>
      </w:r>
    </w:p>
    <w:p w14:paraId="603E45DC">
      <w:pPr>
        <w:spacing w:line="440" w:lineRule="exac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（1）公司名称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0E39C739">
      <w:pPr>
        <w:spacing w:line="440" w:lineRule="exac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（2）纳税人识别号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5E3C37C9">
      <w:pPr>
        <w:spacing w:line="440" w:lineRule="exac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第二种方式：开具增值税专用发票，开票信息如下：</w:t>
      </w:r>
    </w:p>
    <w:p w14:paraId="5B5E3403">
      <w:pPr>
        <w:spacing w:line="440" w:lineRule="exac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（1）公司名称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C58979F">
      <w:pPr>
        <w:spacing w:line="440" w:lineRule="exac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（2）纳税人识别号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63F3D402">
      <w:pPr>
        <w:spacing w:line="440" w:lineRule="exac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（3）在税务局登记的地址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5EB7C81B">
      <w:pPr>
        <w:spacing w:line="440" w:lineRule="exac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（4）在税务局登记的电话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605A35D">
      <w:pPr>
        <w:spacing w:line="440" w:lineRule="exac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（5）开户银行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C4E3054">
      <w:pPr>
        <w:spacing w:line="440" w:lineRule="exac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（6）银行账户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0A0242F">
      <w:pPr>
        <w:spacing w:line="440" w:lineRule="exact"/>
        <w:rPr>
          <w:rFonts w:hint="eastAsia" w:ascii="宋体" w:hAnsi="宋体" w:eastAsia="宋体" w:cs="宋体"/>
          <w:color w:val="auto"/>
          <w:sz w:val="24"/>
          <w:highlight w:val="none"/>
        </w:rPr>
      </w:pPr>
    </w:p>
    <w:p w14:paraId="1FAEE7CD">
      <w:pPr>
        <w:spacing w:line="440" w:lineRule="exact"/>
        <w:rPr>
          <w:rFonts w:hint="eastAsia" w:ascii="宋体" w:hAnsi="宋体" w:eastAsia="宋体" w:cs="宋体"/>
          <w:color w:val="auto"/>
          <w:sz w:val="24"/>
          <w:highlight w:val="none"/>
        </w:rPr>
      </w:pPr>
    </w:p>
    <w:p w14:paraId="6F9ED272">
      <w:pPr>
        <w:spacing w:line="440" w:lineRule="exact"/>
        <w:rPr>
          <w:rFonts w:hint="eastAsia" w:ascii="宋体" w:hAnsi="宋体" w:eastAsia="宋体" w:cs="宋体"/>
          <w:color w:val="auto"/>
          <w:sz w:val="24"/>
          <w:highlight w:val="none"/>
        </w:rPr>
      </w:pPr>
    </w:p>
    <w:p w14:paraId="3DBD6FDB">
      <w:pPr>
        <w:spacing w:line="360" w:lineRule="auto"/>
        <w:ind w:left="-2" w:right="-817" w:firstLine="192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法定代表人或者委托代理人签字：</w:t>
      </w:r>
      <w:r>
        <w:rPr>
          <w:rFonts w:hint="eastAsia" w:ascii="宋体" w:hAnsi="宋体" w:eastAsia="宋体" w:cs="宋体"/>
          <w:color w:val="auto"/>
          <w:sz w:val="24"/>
          <w:highlight w:val="none"/>
          <w:u w:val="single"/>
        </w:rPr>
        <w:t xml:space="preserve">                 </w:t>
      </w:r>
    </w:p>
    <w:p w14:paraId="252EED47">
      <w:pPr>
        <w:spacing w:line="360" w:lineRule="auto"/>
        <w:ind w:left="-3" w:right="-817" w:hanging="28"/>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供应商名称（公章）：</w:t>
      </w:r>
      <w:r>
        <w:rPr>
          <w:rFonts w:hint="eastAsia" w:ascii="宋体" w:hAnsi="宋体" w:eastAsia="宋体" w:cs="宋体"/>
          <w:color w:val="auto"/>
          <w:sz w:val="24"/>
          <w:highlight w:val="none"/>
          <w:u w:val="single"/>
        </w:rPr>
        <w:t xml:space="preserve">     </w:t>
      </w:r>
    </w:p>
    <w:p w14:paraId="30198D08">
      <w:pPr>
        <w:spacing w:line="360" w:lineRule="auto"/>
        <w:ind w:right="480" w:firstLine="24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64E15026">
      <w:pPr>
        <w:pStyle w:val="199"/>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757CE552">
      <w:pPr>
        <w:pStyle w:val="199"/>
        <w:jc w:val="center"/>
        <w:rPr>
          <w:rFonts w:hint="eastAsia" w:ascii="宋体" w:hAnsi="宋体" w:eastAsia="宋体" w:cs="宋体"/>
          <w:color w:val="auto"/>
          <w:highlight w:val="none"/>
        </w:rPr>
      </w:pPr>
    </w:p>
    <w:p w14:paraId="7491D20E">
      <w:pPr>
        <w:pStyle w:val="199"/>
        <w:jc w:val="center"/>
        <w:rPr>
          <w:rFonts w:hint="eastAsia" w:ascii="宋体" w:hAnsi="宋体" w:eastAsia="宋体" w:cs="宋体"/>
          <w:color w:val="auto"/>
          <w:highlight w:val="none"/>
        </w:rPr>
      </w:pPr>
    </w:p>
    <w:p w14:paraId="3EA01632">
      <w:pPr>
        <w:pStyle w:val="199"/>
        <w:jc w:val="center"/>
        <w:rPr>
          <w:rFonts w:hint="eastAsia" w:ascii="宋体" w:hAnsi="宋体" w:eastAsia="宋体" w:cs="宋体"/>
          <w:color w:val="auto"/>
          <w:highlight w:val="none"/>
        </w:rPr>
      </w:pPr>
    </w:p>
    <w:p w14:paraId="1D37B610">
      <w:pPr>
        <w:pStyle w:val="199"/>
        <w:bidi w:val="0"/>
        <w:jc w:val="center"/>
        <w:rPr>
          <w:rFonts w:hint="eastAsia"/>
          <w:color w:val="auto"/>
          <w:highlight w:val="none"/>
        </w:rPr>
      </w:pPr>
      <w:bookmarkStart w:id="141" w:name="_Toc11735"/>
      <w:r>
        <w:rPr>
          <w:rFonts w:hint="eastAsia"/>
          <w:color w:val="auto"/>
          <w:highlight w:val="none"/>
        </w:rPr>
        <w:t>第六章 合同文本</w:t>
      </w:r>
      <w:bookmarkEnd w:id="141"/>
    </w:p>
    <w:p w14:paraId="4797701A">
      <w:pPr>
        <w:rPr>
          <w:rFonts w:hint="eastAsia" w:eastAsia="宋体"/>
          <w:color w:val="auto"/>
          <w:highlight w:val="none"/>
          <w:lang w:eastAsia="zh-CN"/>
        </w:rPr>
      </w:pPr>
      <w:r>
        <w:rPr>
          <w:rFonts w:hint="eastAsia" w:eastAsia="宋体"/>
          <w:color w:val="auto"/>
          <w:highlight w:val="none"/>
          <w:lang w:eastAsia="zh-CN"/>
        </w:rPr>
        <w:br w:type="page"/>
      </w:r>
    </w:p>
    <w:p w14:paraId="63855E2F">
      <w:pPr>
        <w:snapToGrid w:val="0"/>
        <w:spacing w:line="360" w:lineRule="auto"/>
        <w:jc w:val="center"/>
        <w:rPr>
          <w:rFonts w:hint="eastAsia" w:ascii="宋体" w:hAnsi="宋体"/>
          <w:b/>
          <w:bCs/>
          <w:color w:val="auto"/>
          <w:sz w:val="32"/>
          <w:szCs w:val="32"/>
          <w:highlight w:val="none"/>
        </w:rPr>
      </w:pPr>
      <w:r>
        <w:rPr>
          <w:rFonts w:hint="eastAsia" w:ascii="宋体" w:hAnsi="宋体"/>
          <w:b/>
          <w:bCs/>
          <w:color w:val="auto"/>
          <w:sz w:val="32"/>
          <w:szCs w:val="32"/>
          <w:highlight w:val="none"/>
        </w:rPr>
        <w:t>政府采购合同</w:t>
      </w:r>
    </w:p>
    <w:p w14:paraId="551A1A96">
      <w:pPr>
        <w:snapToGrid w:val="0"/>
        <w:spacing w:line="360" w:lineRule="auto"/>
        <w:ind w:right="480" w:firstLine="5250" w:firstLineChars="2500"/>
        <w:rPr>
          <w:rFonts w:hint="eastAsia" w:ascii="宋体" w:hAnsi="宋体"/>
          <w:bCs/>
          <w:color w:val="auto"/>
          <w:szCs w:val="21"/>
          <w:highlight w:val="none"/>
          <w:u w:val="single"/>
        </w:rPr>
      </w:pPr>
      <w:r>
        <w:rPr>
          <w:rFonts w:hint="eastAsia" w:ascii="宋体" w:hAnsi="宋体"/>
          <w:bCs/>
          <w:color w:val="auto"/>
          <w:szCs w:val="21"/>
          <w:highlight w:val="none"/>
        </w:rPr>
        <w:t>合同编号：</w:t>
      </w:r>
    </w:p>
    <w:p w14:paraId="6A9BF34E">
      <w:pPr>
        <w:snapToGrid w:val="0"/>
        <w:spacing w:line="360" w:lineRule="auto"/>
        <w:rPr>
          <w:rFonts w:hint="eastAsia" w:ascii="宋体" w:hAnsi="宋体"/>
          <w:color w:val="auto"/>
          <w:szCs w:val="21"/>
          <w:highlight w:val="none"/>
        </w:rPr>
      </w:pPr>
    </w:p>
    <w:p w14:paraId="25E4321E">
      <w:pPr>
        <w:snapToGrid w:val="0"/>
        <w:spacing w:line="360" w:lineRule="auto"/>
        <w:rPr>
          <w:rFonts w:hint="eastAsia" w:ascii="宋体" w:hAnsi="宋体"/>
          <w:color w:val="auto"/>
          <w:szCs w:val="21"/>
          <w:highlight w:val="none"/>
          <w:u w:val="single"/>
        </w:rPr>
      </w:pPr>
      <w:r>
        <w:rPr>
          <w:rFonts w:hint="eastAsia" w:ascii="宋体" w:hAnsi="宋体"/>
          <w:color w:val="auto"/>
          <w:szCs w:val="21"/>
          <w:highlight w:val="none"/>
        </w:rPr>
        <w:t>采购人（甲方）：</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p w14:paraId="48A24AF4">
      <w:pPr>
        <w:snapToGrid w:val="0"/>
        <w:spacing w:line="360" w:lineRule="auto"/>
        <w:rPr>
          <w:rFonts w:hint="eastAsia" w:ascii="宋体" w:hAnsi="宋体"/>
          <w:color w:val="auto"/>
          <w:szCs w:val="21"/>
          <w:highlight w:val="none"/>
          <w:u w:val="single"/>
        </w:rPr>
      </w:pPr>
      <w:r>
        <w:rPr>
          <w:rFonts w:hint="eastAsia" w:ascii="宋体" w:hAnsi="宋体"/>
          <w:color w:val="auto"/>
          <w:szCs w:val="21"/>
          <w:highlight w:val="none"/>
        </w:rPr>
        <w:t>供应商（乙方）：</w:t>
      </w:r>
      <w:r>
        <w:rPr>
          <w:rFonts w:hint="eastAsia" w:ascii="宋体" w:hAnsi="宋体"/>
          <w:color w:val="auto"/>
          <w:szCs w:val="21"/>
          <w:highlight w:val="none"/>
          <w:u w:val="single"/>
        </w:rPr>
        <w:t xml:space="preserve">                          </w:t>
      </w:r>
    </w:p>
    <w:p w14:paraId="2E1E6DED">
      <w:pPr>
        <w:snapToGrid w:val="0"/>
        <w:spacing w:line="360" w:lineRule="auto"/>
        <w:rPr>
          <w:rFonts w:hint="eastAsia" w:ascii="宋体" w:hAnsi="宋体"/>
          <w:color w:val="auto"/>
          <w:szCs w:val="21"/>
          <w:highlight w:val="none"/>
        </w:rPr>
      </w:pPr>
      <w:r>
        <w:rPr>
          <w:rFonts w:hint="eastAsia" w:ascii="宋体" w:hAnsi="宋体"/>
          <w:color w:val="auto"/>
          <w:spacing w:val="-20"/>
          <w:szCs w:val="21"/>
          <w:highlight w:val="none"/>
        </w:rPr>
        <w:t>采 购 计 划 号：</w:t>
      </w:r>
      <w:r>
        <w:rPr>
          <w:rFonts w:hint="eastAsia" w:ascii="宋体" w:hAnsi="宋体"/>
          <w:color w:val="auto"/>
          <w:szCs w:val="21"/>
          <w:highlight w:val="none"/>
          <w:u w:val="single"/>
        </w:rPr>
        <w:t xml:space="preserve">                         </w:t>
      </w:r>
    </w:p>
    <w:p w14:paraId="559A7F33">
      <w:pPr>
        <w:snapToGrid w:val="0"/>
        <w:spacing w:line="360" w:lineRule="auto"/>
        <w:rPr>
          <w:rFonts w:hint="eastAsia" w:ascii="宋体" w:hAnsi="宋体"/>
          <w:color w:val="auto"/>
          <w:szCs w:val="21"/>
          <w:highlight w:val="none"/>
          <w:u w:val="single"/>
        </w:rPr>
      </w:pPr>
      <w:r>
        <w:rPr>
          <w:rFonts w:hint="eastAsia" w:ascii="宋体" w:hAnsi="宋体"/>
          <w:color w:val="auto"/>
          <w:szCs w:val="21"/>
          <w:highlight w:val="none"/>
        </w:rPr>
        <w:t>项目名称：</w:t>
      </w:r>
      <w:r>
        <w:rPr>
          <w:rFonts w:hint="eastAsia" w:ascii="宋体" w:hAnsi="宋体"/>
          <w:color w:val="auto"/>
          <w:szCs w:val="21"/>
          <w:highlight w:val="none"/>
          <w:u w:val="single"/>
        </w:rPr>
        <w:t xml:space="preserve">                           </w:t>
      </w:r>
      <w:r>
        <w:rPr>
          <w:rFonts w:hint="eastAsia" w:ascii="宋体" w:hAnsi="宋体"/>
          <w:color w:val="auto"/>
          <w:szCs w:val="21"/>
          <w:highlight w:val="none"/>
        </w:rPr>
        <w:t>项目编号：</w:t>
      </w:r>
      <w:r>
        <w:rPr>
          <w:rFonts w:hint="eastAsia" w:ascii="宋体" w:hAnsi="宋体"/>
          <w:color w:val="auto"/>
          <w:szCs w:val="21"/>
          <w:highlight w:val="none"/>
          <w:u w:val="single"/>
        </w:rPr>
        <w:t xml:space="preserve">                       </w:t>
      </w:r>
    </w:p>
    <w:p w14:paraId="1720A54D">
      <w:pPr>
        <w:snapToGrid w:val="0"/>
        <w:spacing w:line="360" w:lineRule="auto"/>
        <w:rPr>
          <w:rFonts w:hint="eastAsia" w:ascii="宋体" w:hAnsi="宋体"/>
          <w:color w:val="auto"/>
          <w:highlight w:val="none"/>
        </w:rPr>
      </w:pPr>
      <w:r>
        <w:rPr>
          <w:rFonts w:hint="eastAsia" w:ascii="宋体" w:hAnsi="宋体"/>
          <w:color w:val="auto"/>
          <w:szCs w:val="21"/>
          <w:highlight w:val="none"/>
        </w:rPr>
        <w:t>合同</w:t>
      </w:r>
      <w:r>
        <w:rPr>
          <w:rFonts w:hint="eastAsia" w:ascii="宋体" w:hAnsi="宋体"/>
          <w:color w:val="auto"/>
          <w:highlight w:val="none"/>
        </w:rPr>
        <w:t>类型：</w:t>
      </w:r>
      <w:r>
        <w:rPr>
          <w:rFonts w:hint="eastAsia" w:ascii="宋体" w:hAnsi="宋体"/>
          <w:color w:val="auto"/>
          <w:highlight w:val="none"/>
          <w:u w:val="single"/>
        </w:rPr>
        <w:t xml:space="preserve">      </w:t>
      </w:r>
      <w:r>
        <w:rPr>
          <w:rFonts w:hint="eastAsia" w:ascii="宋体" w:hAnsi="宋体"/>
          <w:color w:val="auto"/>
          <w:highlight w:val="none"/>
        </w:rPr>
        <w:t>合同</w:t>
      </w:r>
    </w:p>
    <w:p w14:paraId="75075BE6">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本合同为中小企业预留合同：</w:t>
      </w:r>
      <w:r>
        <w:rPr>
          <w:rFonts w:hint="eastAsia" w:ascii="宋体" w:hAnsi="宋体" w:cs="宋体"/>
          <w:i/>
          <w:color w:val="auto"/>
          <w:szCs w:val="21"/>
          <w:highlight w:val="none"/>
          <w:u w:val="single"/>
        </w:rPr>
        <w:t>（是/否）</w:t>
      </w:r>
      <w:r>
        <w:rPr>
          <w:rFonts w:hint="eastAsia" w:ascii="宋体" w:hAnsi="宋体" w:cs="宋体"/>
          <w:color w:val="auto"/>
          <w:szCs w:val="21"/>
          <w:highlight w:val="none"/>
        </w:rPr>
        <w:t>。</w:t>
      </w:r>
    </w:p>
    <w:p w14:paraId="39696315">
      <w:pPr>
        <w:pStyle w:val="3"/>
        <w:spacing w:line="360" w:lineRule="auto"/>
        <w:rPr>
          <w:rFonts w:hint="eastAsia" w:ascii="宋体" w:hAnsi="宋体"/>
          <w:color w:val="auto"/>
          <w:highlight w:val="none"/>
        </w:rPr>
      </w:pPr>
    </w:p>
    <w:p w14:paraId="38858A21">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根据《中华人民共和国政府采购法》《中华人民共和国民法典》等法律法规规定，按照采购文件规定条款和乙方投标（竞标）承诺，甲乙双方签订本合同。</w:t>
      </w:r>
    </w:p>
    <w:p w14:paraId="38DBE7B2">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第一条　合同标的</w:t>
      </w:r>
    </w:p>
    <w:tbl>
      <w:tblPr>
        <w:tblStyle w:val="35"/>
        <w:tblW w:w="0" w:type="auto"/>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13"/>
        <w:gridCol w:w="2400"/>
        <w:gridCol w:w="1320"/>
        <w:gridCol w:w="1200"/>
        <w:gridCol w:w="1300"/>
        <w:gridCol w:w="1207"/>
      </w:tblGrid>
      <w:tr w14:paraId="6A291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0"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73EBDBD9">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1213" w:type="dxa"/>
            <w:tcBorders>
              <w:top w:val="single" w:color="auto" w:sz="4" w:space="0"/>
              <w:left w:val="single" w:color="auto" w:sz="4" w:space="0"/>
              <w:bottom w:val="single" w:color="auto" w:sz="4" w:space="0"/>
              <w:right w:val="single" w:color="auto" w:sz="4" w:space="0"/>
            </w:tcBorders>
            <w:noWrap w:val="0"/>
            <w:vAlign w:val="center"/>
          </w:tcPr>
          <w:p w14:paraId="6CBE3AED">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名称</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2C954825">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服务内容</w:t>
            </w:r>
          </w:p>
        </w:tc>
        <w:tc>
          <w:tcPr>
            <w:tcW w:w="1320" w:type="dxa"/>
            <w:tcBorders>
              <w:top w:val="single" w:color="auto" w:sz="4" w:space="0"/>
              <w:left w:val="single" w:color="auto" w:sz="4" w:space="0"/>
              <w:bottom w:val="single" w:color="auto" w:sz="4" w:space="0"/>
              <w:right w:val="single" w:color="auto" w:sz="4" w:space="0"/>
            </w:tcBorders>
            <w:noWrap w:val="0"/>
            <w:vAlign w:val="center"/>
          </w:tcPr>
          <w:p w14:paraId="27182507">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数  量</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432DAB68">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单位</w:t>
            </w:r>
          </w:p>
        </w:tc>
        <w:tc>
          <w:tcPr>
            <w:tcW w:w="1300" w:type="dxa"/>
            <w:tcBorders>
              <w:top w:val="single" w:color="auto" w:sz="4" w:space="0"/>
              <w:left w:val="single" w:color="auto" w:sz="4" w:space="0"/>
              <w:bottom w:val="single" w:color="auto" w:sz="4" w:space="0"/>
              <w:right w:val="single" w:color="auto" w:sz="4" w:space="0"/>
            </w:tcBorders>
            <w:noWrap w:val="0"/>
            <w:vAlign w:val="center"/>
          </w:tcPr>
          <w:p w14:paraId="0FA26E5A">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单  价</w:t>
            </w:r>
          </w:p>
          <w:p w14:paraId="5A8F46D5">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（元）</w:t>
            </w:r>
          </w:p>
        </w:tc>
        <w:tc>
          <w:tcPr>
            <w:tcW w:w="1207" w:type="dxa"/>
            <w:tcBorders>
              <w:top w:val="single" w:color="auto" w:sz="4" w:space="0"/>
              <w:left w:val="single" w:color="auto" w:sz="4" w:space="0"/>
              <w:bottom w:val="single" w:color="auto" w:sz="4" w:space="0"/>
              <w:right w:val="single" w:color="auto" w:sz="4" w:space="0"/>
            </w:tcBorders>
            <w:noWrap w:val="0"/>
            <w:vAlign w:val="center"/>
          </w:tcPr>
          <w:p w14:paraId="1ED873A1">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总  价</w:t>
            </w:r>
          </w:p>
          <w:p w14:paraId="25C343F8">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（元）</w:t>
            </w:r>
          </w:p>
        </w:tc>
      </w:tr>
      <w:tr w14:paraId="5112D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0"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425C39CE">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w:t>
            </w:r>
          </w:p>
        </w:tc>
        <w:tc>
          <w:tcPr>
            <w:tcW w:w="1213" w:type="dxa"/>
            <w:tcBorders>
              <w:top w:val="single" w:color="auto" w:sz="4" w:space="0"/>
              <w:left w:val="single" w:color="auto" w:sz="4" w:space="0"/>
              <w:bottom w:val="single" w:color="auto" w:sz="4" w:space="0"/>
              <w:right w:val="single" w:color="auto" w:sz="4" w:space="0"/>
            </w:tcBorders>
            <w:noWrap w:val="0"/>
            <w:vAlign w:val="center"/>
          </w:tcPr>
          <w:p w14:paraId="72C4D2B8">
            <w:pPr>
              <w:spacing w:line="360" w:lineRule="auto"/>
              <w:jc w:val="center"/>
              <w:rPr>
                <w:rFonts w:ascii="宋体" w:hAnsi="宋体" w:cs="宋体"/>
                <w:color w:val="auto"/>
                <w:szCs w:val="21"/>
                <w:highlight w:val="none"/>
              </w:rPr>
            </w:pPr>
          </w:p>
        </w:tc>
        <w:tc>
          <w:tcPr>
            <w:tcW w:w="2400" w:type="dxa"/>
            <w:tcBorders>
              <w:top w:val="single" w:color="auto" w:sz="4" w:space="0"/>
              <w:left w:val="single" w:color="auto" w:sz="4" w:space="0"/>
              <w:bottom w:val="single" w:color="auto" w:sz="4" w:space="0"/>
              <w:right w:val="single" w:color="auto" w:sz="4" w:space="0"/>
            </w:tcBorders>
            <w:noWrap w:val="0"/>
            <w:vAlign w:val="center"/>
          </w:tcPr>
          <w:p w14:paraId="4F669A31">
            <w:pPr>
              <w:spacing w:line="360" w:lineRule="auto"/>
              <w:jc w:val="center"/>
              <w:rPr>
                <w:rFonts w:ascii="宋体" w:hAnsi="宋体" w:cs="宋体"/>
                <w:color w:val="auto"/>
                <w:szCs w:val="21"/>
                <w:highlight w:val="none"/>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14:paraId="07B66425">
            <w:pPr>
              <w:spacing w:line="360" w:lineRule="auto"/>
              <w:jc w:val="center"/>
              <w:rPr>
                <w:rFonts w:ascii="宋体" w:hAnsi="宋体" w:cs="宋体"/>
                <w:color w:val="auto"/>
                <w:szCs w:val="21"/>
                <w:highlight w:val="none"/>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2ACD9F75">
            <w:pPr>
              <w:spacing w:line="360" w:lineRule="auto"/>
              <w:jc w:val="center"/>
              <w:rPr>
                <w:rFonts w:ascii="宋体" w:hAnsi="宋体" w:cs="宋体"/>
                <w:color w:val="auto"/>
                <w:szCs w:val="21"/>
                <w:highlight w:val="none"/>
              </w:rPr>
            </w:pPr>
          </w:p>
        </w:tc>
        <w:tc>
          <w:tcPr>
            <w:tcW w:w="1300" w:type="dxa"/>
            <w:tcBorders>
              <w:top w:val="single" w:color="auto" w:sz="4" w:space="0"/>
              <w:left w:val="single" w:color="auto" w:sz="4" w:space="0"/>
              <w:bottom w:val="single" w:color="auto" w:sz="4" w:space="0"/>
              <w:right w:val="single" w:color="auto" w:sz="4" w:space="0"/>
            </w:tcBorders>
            <w:noWrap w:val="0"/>
            <w:vAlign w:val="center"/>
          </w:tcPr>
          <w:p w14:paraId="409DCD67">
            <w:pPr>
              <w:spacing w:line="360" w:lineRule="auto"/>
              <w:jc w:val="center"/>
              <w:rPr>
                <w:rFonts w:ascii="宋体" w:hAnsi="宋体" w:cs="宋体"/>
                <w:color w:val="auto"/>
                <w:szCs w:val="21"/>
                <w:highlight w:val="none"/>
              </w:rPr>
            </w:pPr>
          </w:p>
        </w:tc>
        <w:tc>
          <w:tcPr>
            <w:tcW w:w="1207" w:type="dxa"/>
            <w:tcBorders>
              <w:top w:val="single" w:color="auto" w:sz="4" w:space="0"/>
              <w:left w:val="single" w:color="auto" w:sz="4" w:space="0"/>
              <w:bottom w:val="single" w:color="auto" w:sz="4" w:space="0"/>
              <w:right w:val="single" w:color="auto" w:sz="4" w:space="0"/>
            </w:tcBorders>
            <w:noWrap w:val="0"/>
            <w:vAlign w:val="center"/>
          </w:tcPr>
          <w:p w14:paraId="1B6CE472">
            <w:pPr>
              <w:spacing w:line="360" w:lineRule="auto"/>
              <w:jc w:val="center"/>
              <w:rPr>
                <w:rFonts w:ascii="宋体" w:hAnsi="宋体" w:cs="宋体"/>
                <w:color w:val="auto"/>
                <w:szCs w:val="21"/>
                <w:highlight w:val="none"/>
              </w:rPr>
            </w:pPr>
          </w:p>
        </w:tc>
      </w:tr>
      <w:tr w14:paraId="2C75C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0"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5DEBEBCC">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2</w:t>
            </w:r>
          </w:p>
        </w:tc>
        <w:tc>
          <w:tcPr>
            <w:tcW w:w="1213" w:type="dxa"/>
            <w:tcBorders>
              <w:top w:val="single" w:color="auto" w:sz="4" w:space="0"/>
              <w:left w:val="single" w:color="auto" w:sz="4" w:space="0"/>
              <w:bottom w:val="single" w:color="auto" w:sz="4" w:space="0"/>
              <w:right w:val="single" w:color="auto" w:sz="4" w:space="0"/>
            </w:tcBorders>
            <w:noWrap w:val="0"/>
            <w:vAlign w:val="center"/>
          </w:tcPr>
          <w:p w14:paraId="03E386AD">
            <w:pPr>
              <w:spacing w:line="360" w:lineRule="auto"/>
              <w:jc w:val="center"/>
              <w:rPr>
                <w:rFonts w:ascii="宋体" w:hAnsi="宋体" w:cs="宋体"/>
                <w:color w:val="auto"/>
                <w:szCs w:val="21"/>
                <w:highlight w:val="none"/>
              </w:rPr>
            </w:pPr>
          </w:p>
        </w:tc>
        <w:tc>
          <w:tcPr>
            <w:tcW w:w="2400" w:type="dxa"/>
            <w:tcBorders>
              <w:top w:val="single" w:color="auto" w:sz="4" w:space="0"/>
              <w:left w:val="single" w:color="auto" w:sz="4" w:space="0"/>
              <w:bottom w:val="single" w:color="auto" w:sz="4" w:space="0"/>
              <w:right w:val="single" w:color="auto" w:sz="4" w:space="0"/>
            </w:tcBorders>
            <w:noWrap w:val="0"/>
            <w:vAlign w:val="center"/>
          </w:tcPr>
          <w:p w14:paraId="7CC53C72">
            <w:pPr>
              <w:spacing w:line="360" w:lineRule="auto"/>
              <w:jc w:val="center"/>
              <w:rPr>
                <w:rFonts w:ascii="宋体" w:hAnsi="宋体" w:cs="宋体"/>
                <w:color w:val="auto"/>
                <w:szCs w:val="21"/>
                <w:highlight w:val="none"/>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14:paraId="1409C5BD">
            <w:pPr>
              <w:spacing w:line="360" w:lineRule="auto"/>
              <w:jc w:val="center"/>
              <w:rPr>
                <w:rFonts w:ascii="宋体" w:hAnsi="宋体" w:cs="宋体"/>
                <w:color w:val="auto"/>
                <w:szCs w:val="21"/>
                <w:highlight w:val="none"/>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76D6983F">
            <w:pPr>
              <w:spacing w:line="360" w:lineRule="auto"/>
              <w:jc w:val="center"/>
              <w:rPr>
                <w:rFonts w:ascii="宋体" w:hAnsi="宋体" w:cs="宋体"/>
                <w:color w:val="auto"/>
                <w:szCs w:val="21"/>
                <w:highlight w:val="none"/>
              </w:rPr>
            </w:pPr>
          </w:p>
        </w:tc>
        <w:tc>
          <w:tcPr>
            <w:tcW w:w="1300" w:type="dxa"/>
            <w:tcBorders>
              <w:top w:val="single" w:color="auto" w:sz="4" w:space="0"/>
              <w:left w:val="single" w:color="auto" w:sz="4" w:space="0"/>
              <w:bottom w:val="single" w:color="auto" w:sz="4" w:space="0"/>
              <w:right w:val="single" w:color="auto" w:sz="4" w:space="0"/>
            </w:tcBorders>
            <w:noWrap w:val="0"/>
            <w:vAlign w:val="center"/>
          </w:tcPr>
          <w:p w14:paraId="09577B61">
            <w:pPr>
              <w:spacing w:line="360" w:lineRule="auto"/>
              <w:jc w:val="center"/>
              <w:rPr>
                <w:rFonts w:ascii="宋体" w:hAnsi="宋体" w:cs="宋体"/>
                <w:color w:val="auto"/>
                <w:szCs w:val="21"/>
                <w:highlight w:val="none"/>
              </w:rPr>
            </w:pPr>
          </w:p>
        </w:tc>
        <w:tc>
          <w:tcPr>
            <w:tcW w:w="1207" w:type="dxa"/>
            <w:tcBorders>
              <w:top w:val="single" w:color="auto" w:sz="4" w:space="0"/>
              <w:left w:val="single" w:color="auto" w:sz="4" w:space="0"/>
              <w:bottom w:val="single" w:color="auto" w:sz="4" w:space="0"/>
              <w:right w:val="single" w:color="auto" w:sz="4" w:space="0"/>
            </w:tcBorders>
            <w:noWrap w:val="0"/>
            <w:vAlign w:val="center"/>
          </w:tcPr>
          <w:p w14:paraId="6EE1578E">
            <w:pPr>
              <w:spacing w:line="360" w:lineRule="auto"/>
              <w:jc w:val="center"/>
              <w:rPr>
                <w:rFonts w:ascii="宋体" w:hAnsi="宋体" w:cs="宋体"/>
                <w:color w:val="auto"/>
                <w:szCs w:val="21"/>
                <w:highlight w:val="none"/>
              </w:rPr>
            </w:pPr>
          </w:p>
        </w:tc>
      </w:tr>
      <w:tr w14:paraId="62609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0"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6D6584D4">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w:t>
            </w:r>
          </w:p>
        </w:tc>
        <w:tc>
          <w:tcPr>
            <w:tcW w:w="1213" w:type="dxa"/>
            <w:tcBorders>
              <w:top w:val="single" w:color="auto" w:sz="4" w:space="0"/>
              <w:left w:val="single" w:color="auto" w:sz="4" w:space="0"/>
              <w:bottom w:val="single" w:color="auto" w:sz="4" w:space="0"/>
              <w:right w:val="single" w:color="auto" w:sz="4" w:space="0"/>
            </w:tcBorders>
            <w:noWrap w:val="0"/>
            <w:vAlign w:val="center"/>
          </w:tcPr>
          <w:p w14:paraId="179D9B58">
            <w:pPr>
              <w:spacing w:line="360" w:lineRule="auto"/>
              <w:jc w:val="center"/>
              <w:rPr>
                <w:rFonts w:ascii="宋体" w:hAnsi="宋体" w:cs="宋体"/>
                <w:color w:val="auto"/>
                <w:szCs w:val="21"/>
                <w:highlight w:val="none"/>
              </w:rPr>
            </w:pPr>
          </w:p>
        </w:tc>
        <w:tc>
          <w:tcPr>
            <w:tcW w:w="2400" w:type="dxa"/>
            <w:tcBorders>
              <w:top w:val="single" w:color="auto" w:sz="4" w:space="0"/>
              <w:left w:val="single" w:color="auto" w:sz="4" w:space="0"/>
              <w:bottom w:val="single" w:color="auto" w:sz="4" w:space="0"/>
              <w:right w:val="single" w:color="auto" w:sz="4" w:space="0"/>
            </w:tcBorders>
            <w:noWrap w:val="0"/>
            <w:vAlign w:val="center"/>
          </w:tcPr>
          <w:p w14:paraId="56B663D2">
            <w:pPr>
              <w:spacing w:line="360" w:lineRule="auto"/>
              <w:jc w:val="center"/>
              <w:rPr>
                <w:rFonts w:ascii="宋体" w:hAnsi="宋体" w:cs="宋体"/>
                <w:color w:val="auto"/>
                <w:szCs w:val="21"/>
                <w:highlight w:val="none"/>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14:paraId="6DCE20F0">
            <w:pPr>
              <w:spacing w:line="360" w:lineRule="auto"/>
              <w:jc w:val="center"/>
              <w:rPr>
                <w:rFonts w:ascii="宋体" w:hAnsi="宋体" w:cs="宋体"/>
                <w:color w:val="auto"/>
                <w:szCs w:val="21"/>
                <w:highlight w:val="none"/>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3A5A7022">
            <w:pPr>
              <w:spacing w:line="360" w:lineRule="auto"/>
              <w:jc w:val="center"/>
              <w:rPr>
                <w:rFonts w:ascii="宋体" w:hAnsi="宋体" w:cs="宋体"/>
                <w:color w:val="auto"/>
                <w:szCs w:val="21"/>
                <w:highlight w:val="none"/>
              </w:rPr>
            </w:pPr>
          </w:p>
        </w:tc>
        <w:tc>
          <w:tcPr>
            <w:tcW w:w="1300" w:type="dxa"/>
            <w:tcBorders>
              <w:top w:val="single" w:color="auto" w:sz="4" w:space="0"/>
              <w:left w:val="single" w:color="auto" w:sz="4" w:space="0"/>
              <w:bottom w:val="single" w:color="auto" w:sz="4" w:space="0"/>
              <w:right w:val="single" w:color="auto" w:sz="4" w:space="0"/>
            </w:tcBorders>
            <w:noWrap w:val="0"/>
            <w:vAlign w:val="center"/>
          </w:tcPr>
          <w:p w14:paraId="4FE5A236">
            <w:pPr>
              <w:spacing w:line="360" w:lineRule="auto"/>
              <w:jc w:val="center"/>
              <w:rPr>
                <w:rFonts w:ascii="宋体" w:hAnsi="宋体" w:cs="宋体"/>
                <w:color w:val="auto"/>
                <w:szCs w:val="21"/>
                <w:highlight w:val="none"/>
              </w:rPr>
            </w:pPr>
          </w:p>
        </w:tc>
        <w:tc>
          <w:tcPr>
            <w:tcW w:w="1207" w:type="dxa"/>
            <w:tcBorders>
              <w:top w:val="single" w:color="auto" w:sz="4" w:space="0"/>
              <w:left w:val="single" w:color="auto" w:sz="4" w:space="0"/>
              <w:bottom w:val="single" w:color="auto" w:sz="4" w:space="0"/>
              <w:right w:val="single" w:color="auto" w:sz="4" w:space="0"/>
            </w:tcBorders>
            <w:noWrap w:val="0"/>
            <w:vAlign w:val="center"/>
          </w:tcPr>
          <w:p w14:paraId="21249815">
            <w:pPr>
              <w:spacing w:line="360" w:lineRule="auto"/>
              <w:jc w:val="center"/>
              <w:rPr>
                <w:rFonts w:ascii="宋体" w:hAnsi="宋体" w:cs="宋体"/>
                <w:color w:val="auto"/>
                <w:szCs w:val="21"/>
                <w:highlight w:val="none"/>
              </w:rPr>
            </w:pPr>
          </w:p>
        </w:tc>
      </w:tr>
      <w:tr w14:paraId="76D15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9360" w:type="dxa"/>
            <w:gridSpan w:val="7"/>
            <w:tcBorders>
              <w:top w:val="single" w:color="auto" w:sz="4" w:space="0"/>
              <w:left w:val="single" w:color="auto" w:sz="4" w:space="0"/>
              <w:bottom w:val="single" w:color="auto" w:sz="4" w:space="0"/>
              <w:right w:val="single" w:color="auto" w:sz="4" w:space="0"/>
            </w:tcBorders>
            <w:noWrap w:val="0"/>
            <w:vAlign w:val="center"/>
          </w:tcPr>
          <w:p w14:paraId="237F6499">
            <w:pPr>
              <w:spacing w:line="360" w:lineRule="auto"/>
              <w:rPr>
                <w:rFonts w:ascii="宋体" w:hAnsi="宋体" w:cs="宋体"/>
                <w:color w:val="auto"/>
                <w:szCs w:val="21"/>
                <w:highlight w:val="none"/>
              </w:rPr>
            </w:pPr>
            <w:r>
              <w:rPr>
                <w:rFonts w:hint="eastAsia" w:ascii="宋体" w:hAnsi="宋体" w:cs="宋体"/>
                <w:color w:val="auto"/>
                <w:szCs w:val="21"/>
                <w:highlight w:val="none"/>
              </w:rPr>
              <w:t>合计金额（人民币）：</w:t>
            </w:r>
            <w:r>
              <w:rPr>
                <w:rFonts w:hint="eastAsia" w:ascii="宋体" w:hAnsi="宋体" w:cs="宋体"/>
                <w:color w:val="auto"/>
                <w:szCs w:val="21"/>
                <w:highlight w:val="none"/>
                <w:u w:val="single"/>
              </w:rPr>
              <w:t xml:space="preserve">（大写）                          （小写）                   </w:t>
            </w:r>
            <w:r>
              <w:rPr>
                <w:rFonts w:hint="eastAsia" w:ascii="宋体" w:hAnsi="宋体" w:cs="宋体"/>
                <w:color w:val="auto"/>
                <w:szCs w:val="21"/>
                <w:highlight w:val="none"/>
              </w:rPr>
              <w:t xml:space="preserve">             </w:t>
            </w:r>
          </w:p>
        </w:tc>
      </w:tr>
    </w:tbl>
    <w:p w14:paraId="51B337FD">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第二条　</w:t>
      </w:r>
      <w:r>
        <w:rPr>
          <w:rFonts w:hint="eastAsia" w:ascii="宋体" w:hAnsi="宋体"/>
          <w:b/>
          <w:color w:val="auto"/>
          <w:szCs w:val="21"/>
          <w:highlight w:val="none"/>
        </w:rPr>
        <w:t>标的质量</w:t>
      </w:r>
    </w:p>
    <w:p w14:paraId="32F52A12">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乙方所提供的服务及服务内容必须与</w:t>
      </w:r>
      <w:r>
        <w:rPr>
          <w:rFonts w:hint="eastAsia" w:ascii="宋体" w:hAnsi="宋体"/>
          <w:color w:val="auto"/>
          <w:szCs w:val="21"/>
          <w:highlight w:val="none"/>
        </w:rPr>
        <w:t>投标（响应）</w:t>
      </w:r>
      <w:r>
        <w:rPr>
          <w:rFonts w:hint="eastAsia" w:ascii="宋体" w:hAnsi="宋体" w:cs="宋体"/>
          <w:color w:val="auto"/>
          <w:szCs w:val="21"/>
          <w:highlight w:val="none"/>
        </w:rPr>
        <w:t>承诺相一致，</w:t>
      </w:r>
      <w:r>
        <w:rPr>
          <w:rFonts w:hint="eastAsia" w:ascii="宋体" w:hAnsi="宋体"/>
          <w:color w:val="auto"/>
          <w:szCs w:val="21"/>
          <w:highlight w:val="none"/>
        </w:rPr>
        <w:t>且满足项目实施要求，</w:t>
      </w:r>
      <w:r>
        <w:rPr>
          <w:rFonts w:hint="eastAsia" w:ascii="宋体" w:hAnsi="宋体" w:cs="宋体"/>
          <w:color w:val="auto"/>
          <w:szCs w:val="21"/>
          <w:highlight w:val="none"/>
        </w:rPr>
        <w:t>有国家强制性标准的，还必须符合国家强制性标准的规定，没有国家强制性标准但有其他强制性标准的，必须符合其他强制性标准的规定。</w:t>
      </w:r>
    </w:p>
    <w:p w14:paraId="189D1A18">
      <w:pPr>
        <w:snapToGrid w:val="0"/>
        <w:spacing w:line="360" w:lineRule="auto"/>
        <w:ind w:firstLine="422" w:firstLineChars="200"/>
        <w:rPr>
          <w:rFonts w:hint="eastAsia" w:ascii="宋体" w:hAnsi="宋体"/>
          <w:color w:val="auto"/>
          <w:szCs w:val="21"/>
          <w:highlight w:val="none"/>
        </w:rPr>
      </w:pPr>
      <w:r>
        <w:rPr>
          <w:rFonts w:hint="eastAsia" w:ascii="宋体" w:hAnsi="宋体" w:cs="宋体"/>
          <w:b/>
          <w:color w:val="auto"/>
          <w:szCs w:val="21"/>
          <w:highlight w:val="none"/>
        </w:rPr>
        <w:t>第三条  运维服务期、地点和方式</w:t>
      </w:r>
    </w:p>
    <w:p w14:paraId="77322952">
      <w:pPr>
        <w:snapToGrid w:val="0"/>
        <w:spacing w:line="360" w:lineRule="auto"/>
        <w:ind w:firstLine="420" w:firstLineChars="200"/>
        <w:rPr>
          <w:rFonts w:hint="eastAsia" w:ascii="宋体" w:hAnsi="宋体"/>
          <w:i/>
          <w:color w:val="auto"/>
          <w:szCs w:val="21"/>
          <w:highlight w:val="none"/>
        </w:rPr>
      </w:pPr>
      <w:r>
        <w:rPr>
          <w:rFonts w:hint="eastAsia" w:ascii="宋体" w:hAnsi="宋体" w:cs="宋体"/>
          <w:color w:val="auto"/>
          <w:szCs w:val="21"/>
          <w:highlight w:val="none"/>
        </w:rPr>
        <w:t>1.运维服务期：</w:t>
      </w:r>
      <w:r>
        <w:rPr>
          <w:rFonts w:hint="eastAsia" w:ascii="宋体" w:hAnsi="宋体" w:cs="宋体"/>
          <w:color w:val="auto"/>
          <w:szCs w:val="21"/>
          <w:highlight w:val="none"/>
          <w:lang w:eastAsia="zh-CN"/>
        </w:rPr>
        <w:t>自合同签订之日起计2年</w:t>
      </w:r>
      <w:r>
        <w:rPr>
          <w:rFonts w:hint="eastAsia" w:ascii="宋体" w:hAnsi="宋体" w:cs="宋体"/>
          <w:color w:val="auto"/>
          <w:szCs w:val="21"/>
          <w:highlight w:val="none"/>
        </w:rPr>
        <w:t>。</w:t>
      </w:r>
    </w:p>
    <w:p w14:paraId="2421BC0D">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2.履行地点：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藤县</w:t>
      </w:r>
      <w:r>
        <w:rPr>
          <w:rFonts w:hint="eastAsia" w:ascii="宋体" w:hAnsi="宋体" w:cs="宋体"/>
          <w:color w:val="auto"/>
          <w:szCs w:val="21"/>
          <w:highlight w:val="none"/>
          <w:u w:val="single"/>
        </w:rPr>
        <w:t xml:space="preserve">  </w:t>
      </w:r>
    </w:p>
    <w:p w14:paraId="1D64ED13">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3.履行方式</w:t>
      </w:r>
    </w:p>
    <w:p w14:paraId="76AFF8B1">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（1）履行方式：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由乙方执行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5BA9D101">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（2）伴随货物的，</w:t>
      </w:r>
      <w:r>
        <w:rPr>
          <w:rFonts w:hint="eastAsia" w:ascii="宋体" w:hAnsi="宋体"/>
          <w:color w:val="auto"/>
          <w:szCs w:val="21"/>
          <w:highlight w:val="none"/>
        </w:rPr>
        <w:t>乙方负责货物运输，</w:t>
      </w:r>
      <w:r>
        <w:rPr>
          <w:rFonts w:hint="eastAsia" w:ascii="宋体" w:hAnsi="宋体" w:cs="宋体"/>
          <w:color w:val="auto"/>
          <w:szCs w:val="21"/>
          <w:highlight w:val="none"/>
        </w:rPr>
        <w:t>货物的运输方式：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，交货方式：</w:t>
      </w:r>
    </w:p>
    <w:p w14:paraId="3AD417D9">
      <w:pPr>
        <w:snapToGrid w:val="0"/>
        <w:spacing w:line="360" w:lineRule="auto"/>
        <w:ind w:firstLine="420" w:firstLineChars="200"/>
        <w:rPr>
          <w:rFonts w:hint="eastAsia" w:ascii="宋体" w:hAnsi="宋体" w:cs="宋体"/>
          <w:color w:val="auto"/>
          <w:szCs w:val="21"/>
          <w:highlight w:val="none"/>
        </w:rPr>
      </w:pPr>
      <w:r>
        <w:rPr>
          <w:rFonts w:hint="eastAsia" w:ascii="宋体" w:hAnsi="宋体"/>
          <w:color w:val="auto"/>
          <w:szCs w:val="21"/>
          <w:highlight w:val="none"/>
          <w:lang w:eastAsia="zh-CN"/>
        </w:rPr>
        <w:t>☑</w:t>
      </w:r>
      <w:r>
        <w:rPr>
          <w:rFonts w:hint="eastAsia" w:ascii="宋体" w:hAnsi="宋体" w:cs="宋体"/>
          <w:color w:val="auto"/>
          <w:szCs w:val="21"/>
          <w:highlight w:val="none"/>
        </w:rPr>
        <w:t>乙方将货物送到甲方指定地点。</w:t>
      </w:r>
    </w:p>
    <w:p w14:paraId="748EBC2E">
      <w:pPr>
        <w:snapToGrid w:val="0"/>
        <w:spacing w:line="360" w:lineRule="auto"/>
        <w:ind w:firstLine="420" w:firstLineChars="200"/>
        <w:rPr>
          <w:rFonts w:hint="eastAsia" w:ascii="宋体" w:hAnsi="宋体" w:cs="宋体"/>
          <w:color w:val="auto"/>
          <w:szCs w:val="21"/>
          <w:highlight w:val="none"/>
        </w:rPr>
      </w:pPr>
      <w:r>
        <w:rPr>
          <w:rFonts w:hint="eastAsia" w:ascii="宋体" w:hAnsi="宋体"/>
          <w:color w:val="auto"/>
          <w:szCs w:val="21"/>
          <w:highlight w:val="none"/>
        </w:rPr>
        <w:t>□</w:t>
      </w:r>
      <w:r>
        <w:rPr>
          <w:rFonts w:hint="eastAsia" w:ascii="宋体" w:hAnsi="宋体" w:cs="宋体"/>
          <w:color w:val="auto"/>
          <w:szCs w:val="21"/>
          <w:highlight w:val="none"/>
        </w:rPr>
        <w:t>甲方自行到乙方指定地点提货。</w:t>
      </w:r>
    </w:p>
    <w:p w14:paraId="41882A2A">
      <w:pPr>
        <w:snapToGrid w:val="0"/>
        <w:spacing w:line="360" w:lineRule="auto"/>
        <w:ind w:firstLine="420" w:firstLineChars="200"/>
        <w:rPr>
          <w:rFonts w:hint="eastAsia" w:ascii="宋体" w:hAnsi="宋体" w:cs="宋体"/>
          <w:b/>
          <w:color w:val="auto"/>
          <w:szCs w:val="21"/>
          <w:highlight w:val="none"/>
        </w:rPr>
      </w:pPr>
      <w:r>
        <w:rPr>
          <w:rFonts w:hint="eastAsia" w:ascii="宋体" w:hAnsi="宋体" w:cs="宋体"/>
          <w:color w:val="auto"/>
          <w:szCs w:val="21"/>
          <w:highlight w:val="none"/>
        </w:rPr>
        <w:t>□其他：</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b/>
          <w:color w:val="auto"/>
          <w:szCs w:val="21"/>
          <w:highlight w:val="none"/>
        </w:rPr>
        <w:t xml:space="preserve"> </w:t>
      </w:r>
    </w:p>
    <w:p w14:paraId="499FA2EB">
      <w:pPr>
        <w:snapToGrid w:val="0"/>
        <w:spacing w:line="360" w:lineRule="auto"/>
        <w:ind w:firstLine="422" w:firstLineChars="200"/>
        <w:rPr>
          <w:rFonts w:hint="eastAsia" w:ascii="宋体" w:hAnsi="宋体"/>
          <w:b/>
          <w:color w:val="auto"/>
          <w:szCs w:val="21"/>
          <w:highlight w:val="none"/>
        </w:rPr>
      </w:pPr>
      <w:r>
        <w:rPr>
          <w:rFonts w:hint="eastAsia" w:ascii="宋体" w:hAnsi="宋体"/>
          <w:b/>
          <w:color w:val="auto"/>
          <w:szCs w:val="21"/>
          <w:highlight w:val="none"/>
        </w:rPr>
        <w:t>第四条　</w:t>
      </w:r>
      <w:r>
        <w:rPr>
          <w:rFonts w:hint="eastAsia" w:ascii="宋体" w:hAnsi="宋体"/>
          <w:b/>
          <w:color w:val="auto"/>
          <w:highlight w:val="none"/>
        </w:rPr>
        <w:t>包装方式（如有</w:t>
      </w:r>
      <w:r>
        <w:rPr>
          <w:rFonts w:hint="eastAsia" w:ascii="宋体" w:hAnsi="宋体"/>
          <w:b/>
          <w:color w:val="auto"/>
          <w:szCs w:val="21"/>
          <w:highlight w:val="none"/>
        </w:rPr>
        <w:t>伴随货物的</w:t>
      </w:r>
      <w:r>
        <w:rPr>
          <w:rFonts w:hint="eastAsia" w:ascii="宋体" w:hAnsi="宋体"/>
          <w:b/>
          <w:color w:val="auto"/>
          <w:highlight w:val="none"/>
        </w:rPr>
        <w:t>）</w:t>
      </w:r>
    </w:p>
    <w:p w14:paraId="47029218">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1.乙方提供的货物均应按投标（响应）文件承诺的要求的包装材料、包装标准、包装方式进行包装。</w:t>
      </w:r>
    </w:p>
    <w:p w14:paraId="143D8B6B">
      <w:pPr>
        <w:pStyle w:val="20"/>
        <w:snapToGrid w:val="0"/>
        <w:spacing w:line="360" w:lineRule="auto"/>
        <w:ind w:firstLine="420" w:firstLineChars="200"/>
        <w:rPr>
          <w:rFonts w:hint="eastAsia" w:hAnsi="宋体"/>
          <w:color w:val="auto"/>
          <w:sz w:val="21"/>
          <w:highlight w:val="none"/>
        </w:rPr>
      </w:pPr>
      <w:r>
        <w:rPr>
          <w:rFonts w:hint="eastAsia" w:hAnsi="宋体"/>
          <w:color w:val="auto"/>
          <w:sz w:val="21"/>
          <w:highlight w:val="none"/>
        </w:rPr>
        <w:t>2.乙方应在货物发运前对其进行满足运输距离、防水、防潮、防震、防锈和防破损装卸等要求包装，以保证货物安全运达甲方指定地点。</w:t>
      </w:r>
    </w:p>
    <w:p w14:paraId="4E758932">
      <w:pPr>
        <w:pStyle w:val="20"/>
        <w:snapToGrid w:val="0"/>
        <w:spacing w:line="360" w:lineRule="auto"/>
        <w:ind w:firstLine="420" w:firstLineChars="200"/>
        <w:rPr>
          <w:rFonts w:hint="eastAsia" w:hAnsi="宋体"/>
          <w:color w:val="auto"/>
          <w:sz w:val="21"/>
          <w:highlight w:val="none"/>
        </w:rPr>
      </w:pPr>
      <w:r>
        <w:rPr>
          <w:rFonts w:hAnsi="宋体"/>
          <w:color w:val="auto"/>
          <w:sz w:val="21"/>
          <w:highlight w:val="none"/>
        </w:rPr>
        <w:t>3.</w:t>
      </w:r>
      <w:r>
        <w:rPr>
          <w:rFonts w:hint="eastAsia" w:hAnsi="宋体"/>
          <w:color w:val="auto"/>
          <w:sz w:val="21"/>
          <w:highlight w:val="none"/>
        </w:rPr>
        <w:t>货物的使用说明书（货物属于进口产品的，供货时应同时附上中文使用说明书）、质量检验证明书、质量合格证、随配附件和工具以及清单一并附于货物包装内。</w:t>
      </w:r>
    </w:p>
    <w:p w14:paraId="694ED06D">
      <w:pPr>
        <w:snapToGrid w:val="0"/>
        <w:spacing w:line="360" w:lineRule="auto"/>
        <w:ind w:firstLine="422" w:firstLineChars="200"/>
        <w:rPr>
          <w:rFonts w:ascii="宋体" w:hAnsi="宋体"/>
          <w:color w:val="auto"/>
          <w:szCs w:val="21"/>
          <w:highlight w:val="none"/>
        </w:rPr>
      </w:pPr>
      <w:r>
        <w:rPr>
          <w:rFonts w:hint="eastAsia" w:ascii="宋体" w:hAnsi="宋体"/>
          <w:b/>
          <w:color w:val="auto"/>
          <w:szCs w:val="21"/>
          <w:highlight w:val="none"/>
        </w:rPr>
        <w:t>第五条　实施和培训</w:t>
      </w:r>
    </w:p>
    <w:p w14:paraId="5DE892EC">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1.实施时间：</w:t>
      </w:r>
      <w:r>
        <w:rPr>
          <w:rFonts w:hint="eastAsia" w:ascii="宋体" w:hAnsi="宋体"/>
          <w:color w:val="auto"/>
          <w:szCs w:val="21"/>
          <w:highlight w:val="none"/>
          <w:u w:val="single"/>
        </w:rPr>
        <w:t xml:space="preserve">                     </w:t>
      </w:r>
      <w:r>
        <w:rPr>
          <w:rFonts w:hint="eastAsia" w:ascii="宋体" w:hAnsi="宋体"/>
          <w:color w:val="auto"/>
          <w:szCs w:val="21"/>
          <w:highlight w:val="none"/>
        </w:rPr>
        <w:t>；实施地点：</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30B9C525">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2.实施要求：</w:t>
      </w:r>
      <w:r>
        <w:rPr>
          <w:rFonts w:hint="eastAsia" w:ascii="宋体" w:hAnsi="宋体"/>
          <w:i/>
          <w:color w:val="auto"/>
          <w:szCs w:val="21"/>
          <w:highlight w:val="none"/>
          <w:u w:val="single"/>
        </w:rPr>
        <w:t>乙方应当按招标文件要求（如有）或甲方要求进行实施</w:t>
      </w:r>
      <w:r>
        <w:rPr>
          <w:rFonts w:hint="eastAsia" w:ascii="宋体" w:hAnsi="宋体"/>
          <w:color w:val="auto"/>
          <w:szCs w:val="21"/>
          <w:highlight w:val="none"/>
        </w:rPr>
        <w:t>。</w:t>
      </w:r>
    </w:p>
    <w:p w14:paraId="35101C20">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3.乙方应按投标文件的承诺向甲方提供相应的服务，并提供所服务内容的相关技术资料，乙方提供不符合投标文件和本合同规定的服务成果，甲方有权拒绝接受。</w:t>
      </w:r>
    </w:p>
    <w:p w14:paraId="2D30E8C8">
      <w:pPr>
        <w:pStyle w:val="3"/>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lang w:eastAsia="zh-CN"/>
        </w:rPr>
        <w:t>4</w:t>
      </w:r>
      <w:r>
        <w:rPr>
          <w:rFonts w:hint="eastAsia" w:ascii="宋体" w:hAnsi="宋体"/>
          <w:color w:val="auto"/>
          <w:sz w:val="21"/>
          <w:szCs w:val="21"/>
          <w:highlight w:val="none"/>
        </w:rPr>
        <w:t>.乙方应当按照投标文件的承诺对甲方有关人员进行培训。培训时间：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；培训地点：</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7FAC8184">
      <w:pPr>
        <w:snapToGrid w:val="0"/>
        <w:spacing w:line="360" w:lineRule="auto"/>
        <w:ind w:firstLine="422" w:firstLineChars="200"/>
        <w:rPr>
          <w:rFonts w:hint="eastAsia" w:ascii="宋体" w:hAnsi="宋体"/>
          <w:b/>
          <w:color w:val="auto"/>
          <w:szCs w:val="21"/>
          <w:highlight w:val="none"/>
        </w:rPr>
      </w:pPr>
      <w:r>
        <w:rPr>
          <w:rFonts w:hint="eastAsia" w:ascii="宋体" w:hAnsi="宋体"/>
          <w:b/>
          <w:color w:val="auto"/>
          <w:szCs w:val="21"/>
          <w:highlight w:val="none"/>
        </w:rPr>
        <w:t>第六条　合同价款及支付</w:t>
      </w:r>
    </w:p>
    <w:p w14:paraId="43214096">
      <w:pPr>
        <w:pStyle w:val="20"/>
        <w:snapToGrid w:val="0"/>
        <w:spacing w:line="360" w:lineRule="auto"/>
        <w:ind w:firstLine="420" w:firstLineChars="200"/>
        <w:rPr>
          <w:rFonts w:hint="eastAsia" w:hAnsi="宋体"/>
          <w:color w:val="auto"/>
          <w:sz w:val="21"/>
          <w:highlight w:val="none"/>
        </w:rPr>
      </w:pPr>
      <w:r>
        <w:rPr>
          <w:rFonts w:hint="eastAsia" w:hAnsi="宋体"/>
          <w:color w:val="auto"/>
          <w:sz w:val="21"/>
          <w:highlight w:val="none"/>
        </w:rPr>
        <w:t>1.本合同以人民币付款。</w:t>
      </w:r>
    </w:p>
    <w:p w14:paraId="2A9F0B83">
      <w:pPr>
        <w:pStyle w:val="20"/>
        <w:snapToGrid w:val="0"/>
        <w:spacing w:line="360" w:lineRule="auto"/>
        <w:ind w:firstLine="420" w:firstLineChars="200"/>
        <w:rPr>
          <w:rFonts w:hint="eastAsia" w:hAnsi="宋体"/>
          <w:color w:val="auto"/>
          <w:highlight w:val="none"/>
        </w:rPr>
      </w:pPr>
      <w:r>
        <w:rPr>
          <w:rFonts w:hint="eastAsia" w:hAnsi="宋体"/>
          <w:color w:val="auto"/>
          <w:sz w:val="21"/>
          <w:highlight w:val="none"/>
        </w:rPr>
        <w:t>2.合同价款（或者报酬）：</w:t>
      </w:r>
      <w:r>
        <w:rPr>
          <w:rFonts w:hint="eastAsia" w:hAnsi="宋体"/>
          <w:color w:val="auto"/>
          <w:highlight w:val="none"/>
          <w:u w:val="single"/>
        </w:rPr>
        <w:t xml:space="preserve">                     </w:t>
      </w:r>
      <w:r>
        <w:rPr>
          <w:rFonts w:hint="eastAsia" w:hAnsi="宋体"/>
          <w:color w:val="auto"/>
          <w:highlight w:val="none"/>
        </w:rPr>
        <w:t>。</w:t>
      </w:r>
    </w:p>
    <w:p w14:paraId="4AF727EE">
      <w:pPr>
        <w:spacing w:line="360" w:lineRule="auto"/>
        <w:ind w:firstLine="420" w:firstLineChars="200"/>
        <w:contextualSpacing/>
        <w:jc w:val="left"/>
        <w:rPr>
          <w:rFonts w:hint="eastAsia" w:ascii="宋体" w:hAnsi="宋体" w:eastAsia="宋体" w:cs="宋体"/>
          <w:color w:val="auto"/>
          <w:szCs w:val="21"/>
          <w:highlight w:val="none"/>
        </w:rPr>
      </w:pPr>
      <w:r>
        <w:rPr>
          <w:rFonts w:hint="eastAsia" w:ascii="宋体" w:hAnsi="宋体"/>
          <w:color w:val="auto"/>
          <w:szCs w:val="21"/>
          <w:highlight w:val="none"/>
        </w:rPr>
        <w:t>3. 合同价款</w:t>
      </w:r>
      <w:r>
        <w:rPr>
          <w:rFonts w:hint="eastAsia" w:ascii="宋体" w:hAnsi="宋体" w:eastAsia="宋体" w:cs="宋体"/>
          <w:color w:val="auto"/>
          <w:szCs w:val="21"/>
          <w:highlight w:val="none"/>
        </w:rPr>
        <w:t>包括</w:t>
      </w:r>
      <w:r>
        <w:rPr>
          <w:rFonts w:hint="eastAsia" w:ascii="宋体" w:hAnsi="宋体" w:cs="宋体"/>
          <w:color w:val="auto"/>
          <w:szCs w:val="21"/>
          <w:highlight w:val="none"/>
          <w:lang w:val="en-US" w:eastAsia="zh-CN"/>
        </w:rPr>
        <w:t>乙方</w:t>
      </w:r>
      <w:r>
        <w:rPr>
          <w:rFonts w:hint="eastAsia" w:ascii="宋体" w:hAnsi="宋体" w:eastAsia="宋体" w:cs="宋体"/>
          <w:color w:val="auto"/>
          <w:szCs w:val="21"/>
          <w:highlight w:val="none"/>
        </w:rPr>
        <w:t>完成本项目所需的一切工作内容而发生的所有直接费用、间接费用、其它费用、税金等全部费用和供应商要求获得的利润以及应由</w:t>
      </w:r>
      <w:r>
        <w:rPr>
          <w:rFonts w:hint="eastAsia" w:ascii="宋体" w:hAnsi="宋体" w:cs="宋体"/>
          <w:color w:val="auto"/>
          <w:szCs w:val="21"/>
          <w:highlight w:val="none"/>
          <w:lang w:val="en-US" w:eastAsia="zh-CN"/>
        </w:rPr>
        <w:t>乙方</w:t>
      </w:r>
      <w:r>
        <w:rPr>
          <w:rFonts w:hint="eastAsia" w:ascii="宋体" w:hAnsi="宋体" w:eastAsia="宋体" w:cs="宋体"/>
          <w:color w:val="auto"/>
          <w:szCs w:val="21"/>
          <w:highlight w:val="none"/>
        </w:rPr>
        <w:t>承担的义务、责任和风险所发生的一切费用，报价须含（但不限于）以下部分：</w:t>
      </w:r>
    </w:p>
    <w:p w14:paraId="5FB7600E">
      <w:pPr>
        <w:spacing w:line="360" w:lineRule="auto"/>
        <w:contextualSpacing/>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（1）服务的价格；</w:t>
      </w:r>
    </w:p>
    <w:p w14:paraId="55E5C8C1">
      <w:pPr>
        <w:spacing w:line="360" w:lineRule="auto"/>
        <w:contextualSpacing/>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（2）必要的保险费用和各项税金；</w:t>
      </w:r>
    </w:p>
    <w:p w14:paraId="44724F87">
      <w:pPr>
        <w:spacing w:line="360" w:lineRule="auto"/>
        <w:contextualSpacing/>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（3）项目技术服务费、专家咨询费等整体费用和税金；</w:t>
      </w:r>
    </w:p>
    <w:p w14:paraId="553C2417">
      <w:pPr>
        <w:spacing w:line="360" w:lineRule="auto"/>
        <w:contextualSpacing/>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（4）其他费用</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如培训、技术支持、售后服务等及实施过程中的应预见和不可预见的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419EB31A">
      <w:pPr>
        <w:snapToGrid w:val="0"/>
        <w:spacing w:line="360" w:lineRule="auto"/>
        <w:ind w:firstLine="420" w:firstLineChars="200"/>
        <w:rPr>
          <w:rFonts w:hint="eastAsia" w:ascii="宋体" w:hAnsi="宋体"/>
          <w:color w:val="auto"/>
          <w:szCs w:val="21"/>
          <w:highlight w:val="none"/>
        </w:rPr>
      </w:pPr>
      <w:r>
        <w:rPr>
          <w:rFonts w:hint="eastAsia" w:ascii="宋体" w:hAnsi="宋体" w:eastAsia="宋体" w:cs="宋体"/>
          <w:color w:val="auto"/>
          <w:szCs w:val="21"/>
          <w:highlight w:val="none"/>
        </w:rPr>
        <w:t>注：本项目采用固定价格，在项目执行期间</w:t>
      </w:r>
      <w:r>
        <w:rPr>
          <w:rFonts w:hint="eastAsia" w:ascii="宋体" w:hAnsi="宋体" w:eastAsia="宋体" w:cs="宋体"/>
          <w:color w:val="auto"/>
          <w:szCs w:val="21"/>
          <w:highlight w:val="none"/>
          <w:lang w:val="en-US" w:eastAsia="zh-CN"/>
        </w:rPr>
        <w:t>设计</w:t>
      </w:r>
      <w:r>
        <w:rPr>
          <w:rFonts w:hint="eastAsia" w:ascii="宋体" w:hAnsi="宋体" w:eastAsia="宋体" w:cs="宋体"/>
          <w:color w:val="auto"/>
          <w:szCs w:val="21"/>
          <w:highlight w:val="none"/>
        </w:rPr>
        <w:t>服务费总价款不变，</w:t>
      </w:r>
      <w:r>
        <w:rPr>
          <w:rFonts w:hint="eastAsia" w:ascii="宋体" w:hAnsi="宋体" w:cs="宋体"/>
          <w:color w:val="auto"/>
          <w:szCs w:val="21"/>
          <w:highlight w:val="none"/>
          <w:lang w:val="en-US" w:eastAsia="zh-CN"/>
        </w:rPr>
        <w:t>乙方</w:t>
      </w:r>
      <w:r>
        <w:rPr>
          <w:rFonts w:hint="eastAsia" w:ascii="宋体" w:hAnsi="宋体" w:eastAsia="宋体" w:cs="宋体"/>
          <w:color w:val="auto"/>
          <w:szCs w:val="21"/>
          <w:highlight w:val="none"/>
        </w:rPr>
        <w:t>在报价时已充分考虑各种价格浮动因素。</w:t>
      </w:r>
    </w:p>
    <w:p w14:paraId="58D2D141">
      <w:pPr>
        <w:pStyle w:val="20"/>
        <w:snapToGrid w:val="0"/>
        <w:spacing w:line="360" w:lineRule="auto"/>
        <w:ind w:firstLine="420" w:firstLineChars="200"/>
        <w:rPr>
          <w:rFonts w:hint="eastAsia" w:hAnsi="宋体" w:eastAsia="宋体"/>
          <w:bCs/>
          <w:color w:val="auto"/>
          <w:sz w:val="21"/>
          <w:highlight w:val="none"/>
          <w:lang w:eastAsia="zh-CN"/>
        </w:rPr>
      </w:pPr>
      <w:r>
        <w:rPr>
          <w:rFonts w:hint="eastAsia" w:hAnsi="宋体"/>
          <w:bCs/>
          <w:color w:val="auto"/>
          <w:sz w:val="21"/>
          <w:highlight w:val="none"/>
        </w:rPr>
        <w:t>4.预付款：</w:t>
      </w:r>
      <w:r>
        <w:rPr>
          <w:rFonts w:hint="eastAsia" w:hAnsi="宋体"/>
          <w:bCs/>
          <w:i/>
          <w:color w:val="auto"/>
          <w:sz w:val="21"/>
          <w:highlight w:val="none"/>
          <w:lang w:val="en-US" w:eastAsia="zh-CN"/>
        </w:rPr>
        <w:t>无</w:t>
      </w:r>
    </w:p>
    <w:p w14:paraId="27CB9641">
      <w:pPr>
        <w:spacing w:line="360" w:lineRule="auto"/>
        <w:ind w:firstLine="420" w:firstLineChars="200"/>
        <w:rPr>
          <w:rFonts w:hint="eastAsia" w:ascii="宋体" w:hAnsi="宋体"/>
          <w:color w:val="auto"/>
          <w:sz w:val="21"/>
          <w:szCs w:val="21"/>
          <w:highlight w:val="none"/>
          <w:u w:val="single"/>
        </w:rPr>
      </w:pPr>
      <w:r>
        <w:rPr>
          <w:rFonts w:hAnsi="宋体"/>
          <w:bCs/>
          <w:color w:val="auto"/>
          <w:highlight w:val="none"/>
        </w:rPr>
        <w:t>5.</w:t>
      </w:r>
      <w:r>
        <w:rPr>
          <w:rFonts w:hint="eastAsia" w:hAnsi="宋体"/>
          <w:color w:val="auto"/>
          <w:highlight w:val="none"/>
        </w:rPr>
        <w:t>付款进度安排</w:t>
      </w:r>
      <w:r>
        <w:rPr>
          <w:rFonts w:hint="eastAsia" w:hAnsi="宋体"/>
          <w:i w:val="0"/>
          <w:iCs/>
          <w:color w:val="auto"/>
          <w:highlight w:val="none"/>
        </w:rPr>
        <w:t>：</w:t>
      </w:r>
      <w:r>
        <w:rPr>
          <w:rFonts w:hint="eastAsia" w:hAnsi="宋体"/>
          <w:i w:val="0"/>
          <w:iCs/>
          <w:color w:val="auto"/>
          <w:sz w:val="21"/>
          <w:szCs w:val="24"/>
          <w:highlight w:val="none"/>
        </w:rPr>
        <w:t>合同款分3期，合同期共计24个月，自合同签订之日起开始计算，于第8个月内支付第一笔服务费用，合同总金额的50%，于第16个月内支付第二笔服务费用，合同总金额的</w:t>
      </w:r>
      <w:r>
        <w:rPr>
          <w:rFonts w:hint="eastAsia" w:hAnsi="宋体"/>
          <w:i w:val="0"/>
          <w:iCs/>
          <w:color w:val="auto"/>
          <w:sz w:val="21"/>
          <w:szCs w:val="24"/>
          <w:highlight w:val="none"/>
          <w:lang w:val="en-US" w:eastAsia="zh-CN"/>
        </w:rPr>
        <w:t>2</w:t>
      </w:r>
      <w:r>
        <w:rPr>
          <w:rFonts w:hint="eastAsia" w:hAnsi="宋体"/>
          <w:i w:val="0"/>
          <w:iCs/>
          <w:color w:val="auto"/>
          <w:sz w:val="21"/>
          <w:szCs w:val="24"/>
          <w:highlight w:val="none"/>
        </w:rPr>
        <w:t>0%（即支付至总金额的</w:t>
      </w:r>
      <w:r>
        <w:rPr>
          <w:rFonts w:hint="eastAsia" w:hAnsi="宋体"/>
          <w:i w:val="0"/>
          <w:iCs/>
          <w:color w:val="auto"/>
          <w:sz w:val="21"/>
          <w:szCs w:val="24"/>
          <w:highlight w:val="none"/>
          <w:lang w:val="en-US" w:eastAsia="zh-CN"/>
        </w:rPr>
        <w:t>7</w:t>
      </w:r>
      <w:r>
        <w:rPr>
          <w:rFonts w:hint="eastAsia" w:hAnsi="宋体"/>
          <w:i w:val="0"/>
          <w:iCs/>
          <w:color w:val="auto"/>
          <w:sz w:val="21"/>
          <w:szCs w:val="24"/>
          <w:highlight w:val="none"/>
        </w:rPr>
        <w:t>0%），合同期满支付剩余</w:t>
      </w:r>
      <w:r>
        <w:rPr>
          <w:rFonts w:hint="eastAsia" w:hAnsi="宋体"/>
          <w:i w:val="0"/>
          <w:iCs/>
          <w:color w:val="auto"/>
          <w:sz w:val="21"/>
          <w:szCs w:val="24"/>
          <w:highlight w:val="none"/>
          <w:lang w:val="en-US" w:eastAsia="zh-CN"/>
        </w:rPr>
        <w:t>3</w:t>
      </w:r>
      <w:r>
        <w:rPr>
          <w:rFonts w:hint="eastAsia" w:hAnsi="宋体"/>
          <w:i w:val="0"/>
          <w:iCs/>
          <w:color w:val="auto"/>
          <w:sz w:val="21"/>
          <w:szCs w:val="24"/>
          <w:highlight w:val="none"/>
        </w:rPr>
        <w:t>0%费用(注：每次支付前，</w:t>
      </w:r>
      <w:r>
        <w:rPr>
          <w:rFonts w:hint="eastAsia" w:hAnsi="宋体"/>
          <w:i w:val="0"/>
          <w:iCs/>
          <w:color w:val="auto"/>
          <w:sz w:val="21"/>
          <w:szCs w:val="24"/>
          <w:highlight w:val="none"/>
          <w:lang w:val="en-US" w:eastAsia="zh-CN"/>
        </w:rPr>
        <w:t>乙方</w:t>
      </w:r>
      <w:r>
        <w:rPr>
          <w:rFonts w:hint="eastAsia" w:hAnsi="宋体"/>
          <w:i w:val="0"/>
          <w:iCs/>
          <w:color w:val="auto"/>
          <w:sz w:val="21"/>
          <w:szCs w:val="24"/>
          <w:highlight w:val="none"/>
        </w:rPr>
        <w:t>须向</w:t>
      </w:r>
      <w:r>
        <w:rPr>
          <w:rFonts w:hint="eastAsia" w:hAnsi="宋体"/>
          <w:i w:val="0"/>
          <w:iCs/>
          <w:color w:val="auto"/>
          <w:sz w:val="21"/>
          <w:szCs w:val="24"/>
          <w:highlight w:val="none"/>
          <w:lang w:val="en-US" w:eastAsia="zh-CN"/>
        </w:rPr>
        <w:t>甲方</w:t>
      </w:r>
      <w:r>
        <w:rPr>
          <w:rFonts w:hint="eastAsia" w:hAnsi="宋体"/>
          <w:i w:val="0"/>
          <w:iCs/>
          <w:color w:val="auto"/>
          <w:sz w:val="21"/>
          <w:szCs w:val="24"/>
          <w:highlight w:val="none"/>
        </w:rPr>
        <w:t>提供付款申请和对应金额的合法专用发票，</w:t>
      </w:r>
      <w:r>
        <w:rPr>
          <w:rFonts w:hint="eastAsia" w:hAnsi="宋体"/>
          <w:i w:val="0"/>
          <w:iCs/>
          <w:color w:val="auto"/>
          <w:sz w:val="21"/>
          <w:szCs w:val="24"/>
          <w:highlight w:val="none"/>
          <w:lang w:val="en-US" w:eastAsia="zh-CN"/>
        </w:rPr>
        <w:t>甲方</w:t>
      </w:r>
      <w:r>
        <w:rPr>
          <w:rFonts w:hint="eastAsia" w:hAnsi="宋体"/>
          <w:i w:val="0"/>
          <w:iCs/>
          <w:color w:val="auto"/>
          <w:sz w:val="21"/>
          <w:szCs w:val="24"/>
          <w:highlight w:val="none"/>
        </w:rPr>
        <w:t>在收到发票后支付至</w:t>
      </w:r>
      <w:r>
        <w:rPr>
          <w:rFonts w:hint="eastAsia" w:hAnsi="宋体"/>
          <w:i w:val="0"/>
          <w:iCs/>
          <w:color w:val="auto"/>
          <w:sz w:val="21"/>
          <w:szCs w:val="24"/>
          <w:highlight w:val="none"/>
          <w:lang w:val="en-US" w:eastAsia="zh-CN"/>
        </w:rPr>
        <w:t>乙方</w:t>
      </w:r>
      <w:r>
        <w:rPr>
          <w:rFonts w:hint="eastAsia" w:hAnsi="宋体"/>
          <w:i w:val="0"/>
          <w:iCs/>
          <w:color w:val="auto"/>
          <w:sz w:val="21"/>
          <w:szCs w:val="24"/>
          <w:highlight w:val="none"/>
        </w:rPr>
        <w:t>账户。)</w:t>
      </w:r>
    </w:p>
    <w:p w14:paraId="768E4CCB">
      <w:pPr>
        <w:snapToGrid w:val="0"/>
        <w:spacing w:line="360" w:lineRule="auto"/>
        <w:ind w:firstLine="420" w:firstLineChars="200"/>
        <w:rPr>
          <w:rFonts w:hint="eastAsia" w:ascii="宋体" w:hAnsi="宋体"/>
          <w:b/>
          <w:color w:val="auto"/>
          <w:szCs w:val="21"/>
          <w:highlight w:val="none"/>
        </w:rPr>
      </w:pPr>
      <w:r>
        <w:rPr>
          <w:rFonts w:hAnsi="宋体"/>
          <w:color w:val="auto"/>
          <w:highlight w:val="none"/>
        </w:rPr>
        <w:t>6.</w:t>
      </w:r>
      <w:r>
        <w:rPr>
          <w:rFonts w:hint="eastAsia" w:hAnsi="宋体"/>
          <w:color w:val="auto"/>
          <w:highlight w:val="none"/>
        </w:rPr>
        <w:t>资金支付方式：</w:t>
      </w:r>
      <w:r>
        <w:rPr>
          <w:rFonts w:hAnsi="宋体"/>
          <w:color w:val="auto"/>
          <w:highlight w:val="none"/>
          <w:u w:val="single"/>
        </w:rPr>
        <w:t xml:space="preserve">  </w:t>
      </w:r>
      <w:r>
        <w:rPr>
          <w:rFonts w:hAnsi="宋体"/>
          <w:i/>
          <w:color w:val="auto"/>
          <w:highlight w:val="none"/>
          <w:u w:val="single"/>
        </w:rPr>
        <w:t xml:space="preserve">  </w:t>
      </w:r>
      <w:r>
        <w:rPr>
          <w:rFonts w:hint="eastAsia" w:hAnsi="宋体"/>
          <w:i/>
          <w:color w:val="auto"/>
          <w:highlight w:val="none"/>
          <w:u w:val="single"/>
        </w:rPr>
        <w:t>银行转账</w:t>
      </w:r>
      <w:r>
        <w:rPr>
          <w:rFonts w:hAnsi="宋体"/>
          <w:i/>
          <w:color w:val="auto"/>
          <w:highlight w:val="none"/>
          <w:u w:val="single"/>
        </w:rPr>
        <w:t xml:space="preserve">  </w:t>
      </w:r>
      <w:r>
        <w:rPr>
          <w:rFonts w:hAnsi="宋体"/>
          <w:color w:val="auto"/>
          <w:highlight w:val="none"/>
          <w:u w:val="single"/>
        </w:rPr>
        <w:t xml:space="preserve"> </w:t>
      </w:r>
      <w:r>
        <w:rPr>
          <w:rFonts w:hint="eastAsia" w:hAnsi="宋体"/>
          <w:color w:val="auto"/>
          <w:highlight w:val="none"/>
        </w:rPr>
        <w:t>。</w:t>
      </w:r>
    </w:p>
    <w:p w14:paraId="7D8D5E77">
      <w:pPr>
        <w:snapToGrid w:val="0"/>
        <w:spacing w:line="360" w:lineRule="auto"/>
        <w:ind w:firstLine="422" w:firstLineChars="200"/>
        <w:rPr>
          <w:rFonts w:hint="eastAsia" w:ascii="宋体" w:hAnsi="宋体"/>
          <w:b/>
          <w:color w:val="auto"/>
          <w:szCs w:val="21"/>
          <w:highlight w:val="none"/>
        </w:rPr>
      </w:pPr>
      <w:r>
        <w:rPr>
          <w:rFonts w:hint="eastAsia" w:ascii="宋体" w:hAnsi="宋体"/>
          <w:b/>
          <w:color w:val="auto"/>
          <w:szCs w:val="21"/>
          <w:highlight w:val="none"/>
        </w:rPr>
        <w:t>第七条　验收、交付标准和方法</w:t>
      </w:r>
    </w:p>
    <w:p w14:paraId="004A07AD">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1.验收标准和方法</w:t>
      </w:r>
    </w:p>
    <w:p w14:paraId="5AA9C374">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（1）验收标准：</w:t>
      </w:r>
      <w:r>
        <w:rPr>
          <w:rFonts w:hint="eastAsia" w:ascii="宋体" w:hAnsi="宋体"/>
          <w:i/>
          <w:color w:val="auto"/>
          <w:szCs w:val="21"/>
          <w:highlight w:val="none"/>
        </w:rPr>
        <w:t>服务验收标准，伴随货物、工程验收标准（符合现行国家相关标准、行业标准、地方标准或者其他标准、规范）</w:t>
      </w:r>
      <w:r>
        <w:rPr>
          <w:rFonts w:hint="eastAsia" w:hAnsi="宋体"/>
          <w:i/>
          <w:color w:val="auto"/>
          <w:highlight w:val="none"/>
        </w:rPr>
        <w:t>（注：根据项目实际情况填写，且与采购需求一致）</w:t>
      </w:r>
    </w:p>
    <w:p w14:paraId="1F126961">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（2）验收程序及方法：</w:t>
      </w:r>
    </w:p>
    <w:p w14:paraId="56F087AD">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1）乙方完成服务实施和培训后，向甲方提交验收书面申请。</w:t>
      </w:r>
    </w:p>
    <w:p w14:paraId="1FBB24A5">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2）甲方收到乙方验收申请之日起</w:t>
      </w:r>
      <w:r>
        <w:rPr>
          <w:rFonts w:hint="eastAsia" w:ascii="宋体" w:hAnsi="宋体"/>
          <w:color w:val="auto"/>
          <w:szCs w:val="21"/>
          <w:highlight w:val="none"/>
          <w:u w:val="single"/>
          <w:lang w:val="en-US" w:eastAsia="zh-CN"/>
        </w:rPr>
        <w:t>15</w:t>
      </w:r>
      <w:r>
        <w:rPr>
          <w:rFonts w:hint="eastAsia" w:ascii="宋体" w:hAnsi="宋体"/>
          <w:color w:val="auto"/>
          <w:szCs w:val="21"/>
          <w:highlight w:val="none"/>
        </w:rPr>
        <w:t>个工作日内组织开展履约验收。甲方委托第三方机构组织项目验收的，其验收时间以该项目验收方案确定的验收时间为准。</w:t>
      </w:r>
    </w:p>
    <w:p w14:paraId="35522852">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3）负责本项目验收的单位按下列</w:t>
      </w:r>
      <w:r>
        <w:rPr>
          <w:rFonts w:hint="eastAsia" w:ascii="宋体" w:hAnsi="宋体"/>
          <w:color w:val="auto"/>
          <w:szCs w:val="21"/>
          <w:highlight w:val="none"/>
          <w:u w:val="single"/>
        </w:rPr>
        <w:t xml:space="preserve"> ① </w:t>
      </w:r>
      <w:r>
        <w:rPr>
          <w:rFonts w:hint="eastAsia" w:ascii="宋体" w:hAnsi="宋体"/>
          <w:color w:val="auto"/>
          <w:szCs w:val="21"/>
          <w:highlight w:val="none"/>
        </w:rPr>
        <w:t>方式确定：</w:t>
      </w:r>
    </w:p>
    <w:p w14:paraId="5DC7C512">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①甲方自行组织；</w:t>
      </w:r>
    </w:p>
    <w:p w14:paraId="1343C301">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②甲方委托的第三方机构组织；</w:t>
      </w:r>
    </w:p>
    <w:p w14:paraId="46FB9D47">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③</w:t>
      </w:r>
      <w:r>
        <w:rPr>
          <w:rFonts w:hint="eastAsia" w:ascii="宋体" w:hAnsi="宋体"/>
          <w:i/>
          <w:color w:val="auto"/>
          <w:szCs w:val="21"/>
          <w:highlight w:val="none"/>
        </w:rPr>
        <w:t>（根据项目特殊要求填写，如无可删除）</w:t>
      </w:r>
    </w:p>
    <w:p w14:paraId="04A9E6C3">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4）本项目验收由验收小组按照采购合同约定对每一项技术和商务要求的履约情况进行确认。</w:t>
      </w:r>
    </w:p>
    <w:p w14:paraId="49E4483D">
      <w:pPr>
        <w:spacing w:line="360" w:lineRule="auto"/>
        <w:ind w:firstLine="420" w:firstLineChars="200"/>
        <w:rPr>
          <w:rFonts w:hint="eastAsia" w:ascii="宋体" w:hAnsi="宋体" w:cs="宋体"/>
          <w:color w:val="auto"/>
          <w:kern w:val="0"/>
          <w:szCs w:val="21"/>
          <w:highlight w:val="none"/>
        </w:rPr>
      </w:pPr>
      <w:r>
        <w:rPr>
          <w:rFonts w:hint="eastAsia" w:ascii="宋体" w:hAnsi="宋体"/>
          <w:color w:val="auto"/>
          <w:szCs w:val="21"/>
          <w:highlight w:val="none"/>
        </w:rPr>
        <w:t>5）验收结束后，验收小组出具采购验收书，验收书应当包括每一项技术和商务要求的履约情况，并列明项目总体评价，由验收小组、甲方和乙方共同签署。甲方委托第三方机构组织项目验收的，其验收结果以第三方机构出具验收书结论为准，甲方和乙方共同签署确认。</w:t>
      </w:r>
    </w:p>
    <w:p w14:paraId="78E9B6C3">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6）</w:t>
      </w:r>
      <w:r>
        <w:rPr>
          <w:rFonts w:hint="eastAsia"/>
          <w:color w:val="auto"/>
          <w:szCs w:val="21"/>
          <w:highlight w:val="none"/>
        </w:rPr>
        <w:t>验收书一式</w:t>
      </w:r>
      <w:r>
        <w:rPr>
          <w:color w:val="auto"/>
          <w:szCs w:val="21"/>
          <w:highlight w:val="none"/>
          <w:u w:val="single"/>
        </w:rPr>
        <w:t xml:space="preserve">   </w:t>
      </w:r>
      <w:r>
        <w:rPr>
          <w:rFonts w:hint="eastAsia"/>
          <w:color w:val="auto"/>
          <w:szCs w:val="21"/>
          <w:highlight w:val="none"/>
        </w:rPr>
        <w:t>份，甲乙双方各执</w:t>
      </w:r>
      <w:r>
        <w:rPr>
          <w:color w:val="auto"/>
          <w:szCs w:val="21"/>
          <w:highlight w:val="none"/>
          <w:u w:val="single"/>
        </w:rPr>
        <w:t xml:space="preserve">   </w:t>
      </w:r>
      <w:r>
        <w:rPr>
          <w:rFonts w:hint="eastAsia"/>
          <w:color w:val="auto"/>
          <w:szCs w:val="21"/>
          <w:highlight w:val="none"/>
        </w:rPr>
        <w:t>份、受托第三方机构一份（如有）</w:t>
      </w:r>
      <w:r>
        <w:rPr>
          <w:rFonts w:hint="eastAsia" w:ascii="宋体" w:hAnsi="宋体"/>
          <w:color w:val="auto"/>
          <w:szCs w:val="21"/>
          <w:highlight w:val="none"/>
        </w:rPr>
        <w:t xml:space="preserve">。 </w:t>
      </w:r>
    </w:p>
    <w:p w14:paraId="5ED13817">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7）验收结论不合格的，乙方应自收到验收书后</w:t>
      </w:r>
      <w:r>
        <w:rPr>
          <w:rFonts w:hint="eastAsia" w:ascii="宋体" w:hAnsi="宋体"/>
          <w:color w:val="auto"/>
          <w:szCs w:val="21"/>
          <w:highlight w:val="none"/>
          <w:u w:val="single"/>
        </w:rPr>
        <w:t xml:space="preserve">   </w:t>
      </w:r>
      <w:r>
        <w:rPr>
          <w:rFonts w:hint="eastAsia" w:ascii="宋体" w:hAnsi="宋体"/>
          <w:color w:val="auto"/>
          <w:szCs w:val="21"/>
          <w:highlight w:val="none"/>
        </w:rPr>
        <w:t>日内及时予以解决。经乙方对验收结论不合格的货物进行整改后，仍然达不到要求的，经双方协商，可按以下办法处理：</w:t>
      </w:r>
    </w:p>
    <w:p w14:paraId="48B37FCC">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①更换：由乙方承担所发生的全部费用。</w:t>
      </w:r>
    </w:p>
    <w:p w14:paraId="671EC724">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②贬值处理：由甲乙双方合议定价。</w:t>
      </w:r>
    </w:p>
    <w:p w14:paraId="2A9126CC">
      <w:pPr>
        <w:spacing w:line="360" w:lineRule="auto"/>
        <w:ind w:firstLine="420" w:firstLineChars="200"/>
        <w:rPr>
          <w:rFonts w:hint="eastAsia" w:ascii="宋体" w:hAnsi="宋体"/>
          <w:color w:val="auto"/>
          <w:highlight w:val="none"/>
        </w:rPr>
      </w:pPr>
      <w:r>
        <w:rPr>
          <w:rFonts w:hint="eastAsia" w:ascii="宋体" w:hAnsi="宋体"/>
          <w:color w:val="auto"/>
          <w:highlight w:val="none"/>
        </w:rPr>
        <w:t>2.交付标准和方法</w:t>
      </w:r>
    </w:p>
    <w:p w14:paraId="11EB1BCD">
      <w:pPr>
        <w:spacing w:line="360" w:lineRule="auto"/>
        <w:ind w:firstLine="420" w:firstLineChars="200"/>
        <w:rPr>
          <w:rFonts w:hint="eastAsia" w:ascii="宋体" w:hAnsi="宋体"/>
          <w:color w:val="auto"/>
          <w:szCs w:val="21"/>
          <w:highlight w:val="none"/>
        </w:rPr>
      </w:pPr>
      <w:r>
        <w:rPr>
          <w:rFonts w:hint="eastAsia" w:ascii="宋体" w:hAnsi="宋体"/>
          <w:color w:val="auto"/>
          <w:highlight w:val="none"/>
        </w:rPr>
        <w:t>（1）除售后服务验收外，</w:t>
      </w:r>
      <w:r>
        <w:rPr>
          <w:rFonts w:hint="eastAsia" w:ascii="宋体" w:hAnsi="宋体"/>
          <w:color w:val="auto"/>
          <w:szCs w:val="21"/>
          <w:highlight w:val="none"/>
        </w:rPr>
        <w:t>验收结论合格的，乙方应自收到验收书/报告</w:t>
      </w:r>
      <w:r>
        <w:rPr>
          <w:rFonts w:hint="eastAsia" w:ascii="宋体" w:hAnsi="宋体"/>
          <w:color w:val="auto"/>
          <w:szCs w:val="21"/>
          <w:highlight w:val="none"/>
          <w:lang w:val="en-US" w:eastAsia="zh-CN"/>
        </w:rPr>
        <w:t>之日起</w:t>
      </w:r>
      <w:r>
        <w:rPr>
          <w:rFonts w:hint="eastAsia" w:ascii="宋体" w:hAnsi="宋体"/>
          <w:color w:val="auto"/>
          <w:szCs w:val="21"/>
          <w:highlight w:val="none"/>
        </w:rPr>
        <w:t>向甲方交付使用。</w:t>
      </w:r>
    </w:p>
    <w:p w14:paraId="6FEBEFD0">
      <w:pPr>
        <w:spacing w:line="360" w:lineRule="auto"/>
        <w:ind w:firstLine="420" w:firstLineChars="200"/>
        <w:rPr>
          <w:rFonts w:hint="eastAsia" w:ascii="宋体" w:hAnsi="宋体"/>
          <w:color w:val="auto"/>
          <w:highlight w:val="none"/>
        </w:rPr>
      </w:pPr>
      <w:r>
        <w:rPr>
          <w:rFonts w:hint="eastAsia" w:ascii="宋体" w:hAnsi="宋体"/>
          <w:color w:val="auto"/>
          <w:highlight w:val="none"/>
        </w:rPr>
        <w:t>（2）甲方在初步验收或者最终验收过程中如发现乙方提供的服务成果不满足投标文件及本合同规定的，暂停向乙方付款，直到乙方及时完善并提交相应的服务成果且经甲方验收合格后，方可办理付款。</w:t>
      </w:r>
    </w:p>
    <w:p w14:paraId="73BE0ACF">
      <w:pPr>
        <w:snapToGrid w:val="0"/>
        <w:spacing w:line="360" w:lineRule="auto"/>
        <w:ind w:firstLine="420" w:firstLineChars="200"/>
        <w:rPr>
          <w:rFonts w:hint="eastAsia" w:ascii="宋体" w:hAnsi="宋体"/>
          <w:b/>
          <w:color w:val="auto"/>
          <w:szCs w:val="21"/>
          <w:highlight w:val="none"/>
        </w:rPr>
      </w:pPr>
      <w:r>
        <w:rPr>
          <w:rFonts w:hint="eastAsia" w:ascii="宋体" w:hAnsi="宋体"/>
          <w:color w:val="auto"/>
          <w:highlight w:val="none"/>
        </w:rPr>
        <w:t>（3）伴随货物的，其所有权和风险自交付时起由乙方转移至甲方，货物交付给甲方之前所有风险均由乙方承担。</w:t>
      </w:r>
    </w:p>
    <w:p w14:paraId="3BEC7B67">
      <w:pPr>
        <w:snapToGrid w:val="0"/>
        <w:spacing w:line="360" w:lineRule="auto"/>
        <w:ind w:firstLine="422" w:firstLineChars="200"/>
        <w:rPr>
          <w:rFonts w:hint="eastAsia" w:ascii="宋体" w:hAnsi="宋体"/>
          <w:b/>
          <w:color w:val="auto"/>
          <w:szCs w:val="21"/>
          <w:highlight w:val="none"/>
        </w:rPr>
      </w:pPr>
      <w:r>
        <w:rPr>
          <w:rFonts w:hint="eastAsia" w:ascii="宋体" w:hAnsi="宋体"/>
          <w:b/>
          <w:color w:val="auto"/>
          <w:szCs w:val="21"/>
          <w:highlight w:val="none"/>
        </w:rPr>
        <w:t>第八条  售后服务</w:t>
      </w:r>
    </w:p>
    <w:p w14:paraId="664A8ECF">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r>
        <w:rPr>
          <w:color w:val="auto"/>
          <w:highlight w:val="none"/>
        </w:rPr>
        <w:t xml:space="preserve"> </w:t>
      </w:r>
      <w:r>
        <w:rPr>
          <w:rFonts w:hint="eastAsia" w:ascii="宋体" w:hAnsi="宋体" w:cs="宋体"/>
          <w:color w:val="auto"/>
          <w:szCs w:val="21"/>
          <w:highlight w:val="none"/>
        </w:rPr>
        <w:t>乙方应按照国家有关法律法规规定以及投标文件承诺，为甲方提供售后服务。</w:t>
      </w:r>
    </w:p>
    <w:p w14:paraId="702ADD49">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2.</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采购最低要求，合同签订时按照乙方应标承诺修改</w:t>
      </w:r>
      <w:r>
        <w:rPr>
          <w:rFonts w:hint="eastAsia" w:ascii="宋体" w:hAnsi="宋体" w:cs="宋体"/>
          <w:color w:val="auto"/>
          <w:szCs w:val="21"/>
          <w:highlight w:val="none"/>
          <w:lang w:eastAsia="zh-CN"/>
        </w:rPr>
        <w:t>）</w:t>
      </w:r>
    </w:p>
    <w:p w14:paraId="1A9D8E3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（1）故障响应时间：</w:t>
      </w:r>
      <w:r>
        <w:rPr>
          <w:rFonts w:hint="eastAsia" w:ascii="宋体" w:hAnsi="宋体" w:cs="宋体"/>
          <w:color w:val="auto"/>
          <w:szCs w:val="21"/>
          <w:highlight w:val="none"/>
          <w:lang w:val="en-US" w:eastAsia="zh-CN"/>
        </w:rPr>
        <w:t>乙方</w:t>
      </w:r>
      <w:r>
        <w:rPr>
          <w:rFonts w:hint="eastAsia" w:ascii="宋体" w:hAnsi="宋体" w:cs="宋体"/>
          <w:color w:val="auto"/>
          <w:szCs w:val="21"/>
          <w:highlight w:val="none"/>
        </w:rPr>
        <w:t>接到故障通知后在1小时内响应，12小时内到达现场处理，一般故障24小时内解决问题，重大故障60小时内解决问题。若故障仍无法排除，</w:t>
      </w:r>
      <w:r>
        <w:rPr>
          <w:rFonts w:hint="eastAsia" w:ascii="宋体" w:hAnsi="宋体" w:cs="宋体"/>
          <w:color w:val="auto"/>
          <w:szCs w:val="21"/>
          <w:highlight w:val="none"/>
          <w:lang w:eastAsia="zh-CN"/>
        </w:rPr>
        <w:t>乙方</w:t>
      </w:r>
      <w:r>
        <w:rPr>
          <w:rFonts w:hint="eastAsia" w:ascii="宋体" w:hAnsi="宋体" w:cs="宋体"/>
          <w:color w:val="auto"/>
          <w:szCs w:val="21"/>
          <w:highlight w:val="none"/>
        </w:rPr>
        <w:t>应提供可满足使用要求的替代产品供</w:t>
      </w:r>
      <w:r>
        <w:rPr>
          <w:rFonts w:hint="eastAsia" w:ascii="宋体" w:hAnsi="宋体" w:cs="宋体"/>
          <w:color w:val="auto"/>
          <w:szCs w:val="21"/>
          <w:highlight w:val="none"/>
          <w:lang w:eastAsia="zh-CN"/>
        </w:rPr>
        <w:t>甲方</w:t>
      </w:r>
      <w:r>
        <w:rPr>
          <w:rFonts w:hint="eastAsia" w:ascii="宋体" w:hAnsi="宋体" w:cs="宋体"/>
          <w:color w:val="auto"/>
          <w:szCs w:val="21"/>
          <w:highlight w:val="none"/>
        </w:rPr>
        <w:t>使用，直至原产品故障排除为止。产品维修或更换后其保修期相应顺延。</w:t>
      </w:r>
    </w:p>
    <w:p w14:paraId="16A6A86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应标产品须是按厂家出厂标准配置提供的整套全新，具备正规合法经销渠道，符合相关标准要求的全新合格产品(包括所有零部件、元器件和附件)。若产品在运输过程中损坏须无偿调换同样产品，并按生产厂家或国家有关规定实行“三包”。(3)</w:t>
      </w:r>
      <w:r>
        <w:rPr>
          <w:rFonts w:hint="eastAsia" w:ascii="宋体" w:hAnsi="宋体" w:cs="宋体"/>
          <w:color w:val="auto"/>
          <w:szCs w:val="21"/>
          <w:highlight w:val="none"/>
          <w:lang w:eastAsia="zh-CN"/>
        </w:rPr>
        <w:t>乙方</w:t>
      </w:r>
      <w:r>
        <w:rPr>
          <w:rFonts w:hint="eastAsia" w:ascii="宋体" w:hAnsi="宋体" w:cs="宋体"/>
          <w:color w:val="auto"/>
          <w:szCs w:val="21"/>
          <w:highlight w:val="none"/>
        </w:rPr>
        <w:t>须免费送货至</w:t>
      </w:r>
      <w:r>
        <w:rPr>
          <w:rFonts w:hint="eastAsia" w:ascii="宋体" w:hAnsi="宋体" w:cs="宋体"/>
          <w:color w:val="auto"/>
          <w:szCs w:val="21"/>
          <w:highlight w:val="none"/>
          <w:lang w:eastAsia="zh-CN"/>
        </w:rPr>
        <w:t>甲方</w:t>
      </w:r>
      <w:r>
        <w:rPr>
          <w:rFonts w:hint="eastAsia" w:ascii="宋体" w:hAnsi="宋体" w:cs="宋体"/>
          <w:color w:val="auto"/>
          <w:szCs w:val="21"/>
          <w:highlight w:val="none"/>
        </w:rPr>
        <w:t>指定的地点并负责全套设备的安装、调试及项目整体测试、联调和开通；调试过程中须进行详细记录，系统调试结束后，由</w:t>
      </w:r>
      <w:r>
        <w:rPr>
          <w:rFonts w:hint="eastAsia" w:ascii="宋体" w:hAnsi="宋体" w:cs="宋体"/>
          <w:color w:val="auto"/>
          <w:szCs w:val="21"/>
          <w:highlight w:val="none"/>
          <w:lang w:eastAsia="zh-CN"/>
        </w:rPr>
        <w:t>乙方</w:t>
      </w:r>
      <w:r>
        <w:rPr>
          <w:rFonts w:hint="eastAsia" w:ascii="宋体" w:hAnsi="宋体" w:cs="宋体"/>
          <w:color w:val="auto"/>
          <w:szCs w:val="21"/>
          <w:highlight w:val="none"/>
        </w:rPr>
        <w:t>签字提交</w:t>
      </w:r>
      <w:r>
        <w:rPr>
          <w:rFonts w:hint="eastAsia" w:ascii="宋体" w:hAnsi="宋体" w:cs="宋体"/>
          <w:color w:val="auto"/>
          <w:szCs w:val="21"/>
          <w:highlight w:val="none"/>
          <w:lang w:eastAsia="zh-CN"/>
        </w:rPr>
        <w:t>甲方</w:t>
      </w:r>
      <w:r>
        <w:rPr>
          <w:rFonts w:hint="eastAsia" w:ascii="宋体" w:hAnsi="宋体" w:cs="宋体"/>
          <w:color w:val="auto"/>
          <w:szCs w:val="21"/>
          <w:highlight w:val="none"/>
        </w:rPr>
        <w:t>验收。</w:t>
      </w:r>
    </w:p>
    <w:p w14:paraId="5ABDAE2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color w:val="auto"/>
          <w:szCs w:val="21"/>
          <w:highlight w:val="none"/>
          <w:lang w:eastAsia="zh-CN"/>
        </w:rPr>
        <w:t>乙方</w:t>
      </w:r>
      <w:r>
        <w:rPr>
          <w:rFonts w:hint="eastAsia" w:ascii="宋体" w:hAnsi="宋体" w:cs="宋体"/>
          <w:color w:val="auto"/>
          <w:szCs w:val="21"/>
          <w:highlight w:val="none"/>
        </w:rPr>
        <w:t>须免费负责运维期间所有</w:t>
      </w:r>
      <w:r>
        <w:rPr>
          <w:rFonts w:hint="eastAsia" w:ascii="宋体" w:hAnsi="宋体" w:cs="宋体"/>
          <w:color w:val="auto"/>
          <w:szCs w:val="21"/>
          <w:highlight w:val="none"/>
          <w:lang w:eastAsia="zh-CN"/>
        </w:rPr>
        <w:t>甲方</w:t>
      </w:r>
      <w:r>
        <w:rPr>
          <w:rFonts w:hint="eastAsia" w:ascii="宋体" w:hAnsi="宋体" w:cs="宋体"/>
          <w:color w:val="auto"/>
          <w:szCs w:val="21"/>
          <w:highlight w:val="none"/>
        </w:rPr>
        <w:t>方面的服务培训，免费提供系统软件升级，免费提供完整的产品使用手册、操作培训手册、维护手册，并免费派专业技术人员对采购单位技术人员进行操作、维修、保养等技术指导及7×24小时技术支持服务。</w:t>
      </w:r>
    </w:p>
    <w:p w14:paraId="76E3606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（4）技术支持：包括即时回答提出的问题，排除</w:t>
      </w:r>
      <w:r>
        <w:rPr>
          <w:rFonts w:hint="eastAsia" w:ascii="宋体" w:hAnsi="宋体" w:cs="宋体"/>
          <w:color w:val="auto"/>
          <w:szCs w:val="21"/>
          <w:highlight w:val="none"/>
          <w:lang w:eastAsia="zh-CN"/>
        </w:rPr>
        <w:t>甲方</w:t>
      </w:r>
      <w:r>
        <w:rPr>
          <w:rFonts w:hint="eastAsia" w:ascii="宋体" w:hAnsi="宋体" w:cs="宋体"/>
          <w:color w:val="auto"/>
          <w:szCs w:val="21"/>
          <w:highlight w:val="none"/>
        </w:rPr>
        <w:t>的软、硬件故障，定期回访以及对设备检修，提供终身维护等。</w:t>
      </w:r>
    </w:p>
    <w:p w14:paraId="00BDF64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（5）268套一键报警前端设备与268路高清监控摄像头的整体设备在线率不低于93%。</w:t>
      </w:r>
    </w:p>
    <w:p w14:paraId="64957F8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（6）采购需求中1-4项内容所涉及货物，属于为实现项目目标所必须的配套货物，运维服务期间，维护、更换责任归属</w:t>
      </w:r>
      <w:r>
        <w:rPr>
          <w:rFonts w:hint="eastAsia" w:ascii="宋体" w:hAnsi="宋体" w:cs="宋体"/>
          <w:color w:val="auto"/>
          <w:szCs w:val="21"/>
          <w:highlight w:val="none"/>
          <w:lang w:eastAsia="zh-CN"/>
        </w:rPr>
        <w:t>乙方</w:t>
      </w:r>
      <w:r>
        <w:rPr>
          <w:rFonts w:hint="eastAsia" w:ascii="宋体" w:hAnsi="宋体" w:cs="宋体"/>
          <w:color w:val="auto"/>
          <w:szCs w:val="21"/>
          <w:highlight w:val="none"/>
        </w:rPr>
        <w:t>，运维服务期满后，此部分货物产权归属</w:t>
      </w:r>
      <w:r>
        <w:rPr>
          <w:rFonts w:hint="eastAsia" w:ascii="宋体" w:hAnsi="宋体" w:cs="宋体"/>
          <w:color w:val="auto"/>
          <w:szCs w:val="21"/>
          <w:highlight w:val="none"/>
          <w:lang w:eastAsia="zh-CN"/>
        </w:rPr>
        <w:t>甲方</w:t>
      </w:r>
      <w:r>
        <w:rPr>
          <w:rFonts w:hint="eastAsia" w:ascii="宋体" w:hAnsi="宋体" w:cs="宋体"/>
          <w:color w:val="auto"/>
          <w:szCs w:val="21"/>
          <w:highlight w:val="none"/>
        </w:rPr>
        <w:t>，需在运维服务期满后办理交接手续，配合</w:t>
      </w:r>
      <w:r>
        <w:rPr>
          <w:rFonts w:hint="eastAsia" w:ascii="宋体" w:hAnsi="宋体" w:cs="宋体"/>
          <w:color w:val="auto"/>
          <w:szCs w:val="21"/>
          <w:highlight w:val="none"/>
          <w:lang w:eastAsia="zh-CN"/>
        </w:rPr>
        <w:t>甲方</w:t>
      </w:r>
      <w:r>
        <w:rPr>
          <w:rFonts w:hint="eastAsia" w:ascii="宋体" w:hAnsi="宋体" w:cs="宋体"/>
          <w:color w:val="auto"/>
          <w:szCs w:val="21"/>
          <w:highlight w:val="none"/>
        </w:rPr>
        <w:t>执行资产入库，交接手续完成后，维护、更换责任同步移交</w:t>
      </w:r>
      <w:r>
        <w:rPr>
          <w:rFonts w:hint="eastAsia" w:ascii="宋体" w:hAnsi="宋体" w:cs="宋体"/>
          <w:color w:val="auto"/>
          <w:szCs w:val="21"/>
          <w:highlight w:val="none"/>
          <w:lang w:eastAsia="zh-CN"/>
        </w:rPr>
        <w:t>甲方</w:t>
      </w:r>
      <w:r>
        <w:rPr>
          <w:rFonts w:hint="eastAsia" w:ascii="宋体" w:hAnsi="宋体" w:cs="宋体"/>
          <w:color w:val="auto"/>
          <w:szCs w:val="21"/>
          <w:highlight w:val="none"/>
        </w:rPr>
        <w:t>。</w:t>
      </w:r>
    </w:p>
    <w:p w14:paraId="1BBCB24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（7）运维期间设备更换要求：采购需求/响应承诺中关于各项功能的承诺，设备已经无法满足时，应由</w:t>
      </w:r>
      <w:r>
        <w:rPr>
          <w:rFonts w:hint="eastAsia" w:ascii="宋体" w:hAnsi="宋体" w:cs="宋体"/>
          <w:color w:val="auto"/>
          <w:szCs w:val="21"/>
          <w:highlight w:val="none"/>
          <w:lang w:eastAsia="zh-CN"/>
        </w:rPr>
        <w:t>乙方</w:t>
      </w:r>
      <w:r>
        <w:rPr>
          <w:rFonts w:hint="eastAsia" w:ascii="宋体" w:hAnsi="宋体" w:cs="宋体"/>
          <w:color w:val="auto"/>
          <w:szCs w:val="21"/>
          <w:highlight w:val="none"/>
        </w:rPr>
        <w:t>负责维修/更换。</w:t>
      </w:r>
    </w:p>
    <w:p w14:paraId="558787C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网络安全要求：此项目运维过程中所产生的信息数据直接挂钩各学校安全情况，竞标供应商在响应文件中必须单独提供承诺函，承诺在运维过程中对于上述信息的保密，不得主动窥探项目信息，并在成交后与采购单位签订保密协议。</w:t>
      </w:r>
    </w:p>
    <w:p w14:paraId="399E5612">
      <w:pPr>
        <w:spacing w:line="360" w:lineRule="auto"/>
        <w:ind w:firstLine="420" w:firstLineChars="200"/>
        <w:rPr>
          <w:rFonts w:hint="eastAsia" w:ascii="宋体" w:hAnsi="宋体"/>
          <w:color w:val="auto"/>
          <w:szCs w:val="21"/>
          <w:highlight w:val="none"/>
          <w:u w:val="single"/>
        </w:rPr>
      </w:pPr>
      <w:r>
        <w:rPr>
          <w:rFonts w:hint="eastAsia" w:ascii="宋体" w:hAnsi="宋体" w:cs="宋体"/>
          <w:color w:val="auto"/>
          <w:szCs w:val="21"/>
          <w:highlight w:val="none"/>
        </w:rPr>
        <w:t>（9）定期巡查要求：</w:t>
      </w:r>
      <w:r>
        <w:rPr>
          <w:rFonts w:hint="eastAsia" w:ascii="宋体" w:hAnsi="宋体" w:cs="宋体"/>
          <w:color w:val="auto"/>
          <w:szCs w:val="21"/>
          <w:highlight w:val="none"/>
          <w:lang w:eastAsia="zh-CN"/>
        </w:rPr>
        <w:t>乙方</w:t>
      </w:r>
      <w:r>
        <w:rPr>
          <w:rFonts w:hint="eastAsia" w:ascii="宋体" w:hAnsi="宋体" w:cs="宋体"/>
          <w:color w:val="auto"/>
          <w:szCs w:val="21"/>
          <w:highlight w:val="none"/>
        </w:rPr>
        <w:t>对于一键报警系统的运营情况稳定性巡查，不得少于每周一次，并建立记录台账。</w:t>
      </w:r>
    </w:p>
    <w:p w14:paraId="1675EBF1">
      <w:pPr>
        <w:snapToGrid w:val="0"/>
        <w:spacing w:line="360" w:lineRule="auto"/>
        <w:ind w:left="-61" w:leftChars="-29" w:firstLine="517" w:firstLineChars="245"/>
        <w:rPr>
          <w:rFonts w:hint="eastAsia" w:ascii="宋体" w:hAnsi="宋体"/>
          <w:b/>
          <w:color w:val="auto"/>
          <w:szCs w:val="21"/>
          <w:highlight w:val="none"/>
        </w:rPr>
      </w:pPr>
      <w:r>
        <w:rPr>
          <w:rFonts w:hint="eastAsia" w:ascii="宋体" w:hAnsi="宋体"/>
          <w:b/>
          <w:color w:val="auto"/>
          <w:szCs w:val="21"/>
          <w:highlight w:val="none"/>
        </w:rPr>
        <w:t>第九条　履约保证金</w:t>
      </w:r>
    </w:p>
    <w:p w14:paraId="724DA77A">
      <w:pPr>
        <w:autoSpaceDE w:val="0"/>
        <w:autoSpaceDN w:val="0"/>
        <w:snapToGrid w:val="0"/>
        <w:spacing w:line="360" w:lineRule="auto"/>
        <w:ind w:firstLine="424" w:firstLineChars="202"/>
        <w:textAlignment w:val="bottom"/>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本项目不设置履约保证金。</w:t>
      </w:r>
    </w:p>
    <w:p w14:paraId="5142BF4B">
      <w:pPr>
        <w:snapToGrid w:val="0"/>
        <w:spacing w:line="360" w:lineRule="auto"/>
        <w:ind w:firstLine="422" w:firstLineChars="200"/>
        <w:rPr>
          <w:rFonts w:hint="eastAsia" w:ascii="宋体" w:hAnsi="宋体"/>
          <w:b/>
          <w:color w:val="auto"/>
          <w:szCs w:val="21"/>
          <w:highlight w:val="none"/>
        </w:rPr>
      </w:pPr>
      <w:r>
        <w:rPr>
          <w:rFonts w:hint="eastAsia" w:ascii="宋体" w:hAnsi="宋体"/>
          <w:b/>
          <w:color w:val="auto"/>
          <w:szCs w:val="21"/>
          <w:highlight w:val="none"/>
        </w:rPr>
        <w:t>第十条　违约责任</w:t>
      </w:r>
    </w:p>
    <w:p w14:paraId="2F23220E">
      <w:pPr>
        <w:pStyle w:val="20"/>
        <w:snapToGrid w:val="0"/>
        <w:spacing w:line="360" w:lineRule="auto"/>
        <w:ind w:firstLine="420" w:firstLineChars="200"/>
        <w:rPr>
          <w:rFonts w:hint="eastAsia" w:hAnsi="宋体"/>
          <w:color w:val="auto"/>
          <w:sz w:val="21"/>
          <w:highlight w:val="none"/>
        </w:rPr>
      </w:pPr>
      <w:r>
        <w:rPr>
          <w:rFonts w:hint="eastAsia" w:hAnsi="宋体"/>
          <w:color w:val="auto"/>
          <w:sz w:val="21"/>
          <w:highlight w:val="none"/>
        </w:rPr>
        <w:t>1.合同一方不履行合同义务、履行合同义务不符合约定或者违反合同项下所作保证的， 应向对方承担继续履行、采取修理、更换、退货等补救措施或者赔偿损失等违约责任。</w:t>
      </w:r>
    </w:p>
    <w:p w14:paraId="6A6EA793">
      <w:pPr>
        <w:pStyle w:val="20"/>
        <w:snapToGrid w:val="0"/>
        <w:spacing w:line="360" w:lineRule="auto"/>
        <w:ind w:firstLine="420" w:firstLineChars="200"/>
        <w:rPr>
          <w:rFonts w:hint="eastAsia" w:hAnsi="宋体"/>
          <w:color w:val="auto"/>
          <w:sz w:val="21"/>
          <w:highlight w:val="none"/>
        </w:rPr>
      </w:pPr>
      <w:r>
        <w:rPr>
          <w:rFonts w:hint="eastAsia" w:hAnsi="宋体"/>
          <w:color w:val="auto"/>
          <w:sz w:val="21"/>
          <w:highlight w:val="none"/>
          <w:lang w:val="en-US" w:eastAsia="zh-CN"/>
        </w:rPr>
        <w:t>2</w:t>
      </w:r>
      <w:r>
        <w:rPr>
          <w:rFonts w:hint="eastAsia" w:hAnsi="宋体"/>
          <w:color w:val="auto"/>
          <w:sz w:val="21"/>
          <w:highlight w:val="none"/>
        </w:rPr>
        <w:t xml:space="preserve">.乙方未按本合同和投标文件承诺提供售后服务的，乙方应按本合同价款（报酬）的 </w:t>
      </w:r>
      <w:r>
        <w:rPr>
          <w:rFonts w:hint="eastAsia" w:hAnsi="宋体"/>
          <w:color w:val="auto"/>
          <w:sz w:val="21"/>
          <w:highlight w:val="none"/>
          <w:u w:val="single"/>
        </w:rPr>
        <w:t xml:space="preserve">   </w:t>
      </w:r>
      <w:r>
        <w:rPr>
          <w:rFonts w:hint="eastAsia" w:hAnsi="宋体"/>
          <w:color w:val="auto"/>
          <w:sz w:val="21"/>
          <w:highlight w:val="none"/>
        </w:rPr>
        <w:t>%向甲方支付违约金。</w:t>
      </w:r>
    </w:p>
    <w:p w14:paraId="308584C6">
      <w:pPr>
        <w:pStyle w:val="20"/>
        <w:snapToGrid w:val="0"/>
        <w:spacing w:line="360" w:lineRule="auto"/>
        <w:ind w:firstLine="420" w:firstLineChars="200"/>
        <w:rPr>
          <w:rFonts w:hint="eastAsia" w:hAnsi="宋体"/>
          <w:color w:val="auto"/>
          <w:sz w:val="21"/>
          <w:highlight w:val="none"/>
        </w:rPr>
      </w:pPr>
      <w:r>
        <w:rPr>
          <w:rFonts w:hint="eastAsia" w:hAnsi="宋体"/>
          <w:color w:val="auto"/>
          <w:sz w:val="21"/>
          <w:highlight w:val="none"/>
          <w:lang w:val="en-US" w:eastAsia="zh-CN"/>
        </w:rPr>
        <w:t>3</w:t>
      </w:r>
      <w:r>
        <w:rPr>
          <w:rFonts w:hint="eastAsia" w:hAnsi="宋体"/>
          <w:color w:val="auto"/>
          <w:sz w:val="21"/>
          <w:highlight w:val="none"/>
        </w:rPr>
        <w:t>.因某一方原因导致变更、中止或者终止政府采购合同的，该方应当对另一方受到的损失予以赔偿或者补偿。</w:t>
      </w:r>
    </w:p>
    <w:p w14:paraId="7778A93D">
      <w:pPr>
        <w:pStyle w:val="20"/>
        <w:snapToGrid w:val="0"/>
        <w:spacing w:line="360" w:lineRule="auto"/>
        <w:ind w:firstLine="420" w:firstLineChars="200"/>
        <w:rPr>
          <w:rFonts w:hint="eastAsia" w:hAnsi="宋体"/>
          <w:color w:val="auto"/>
          <w:sz w:val="21"/>
          <w:highlight w:val="none"/>
        </w:rPr>
      </w:pPr>
      <w:r>
        <w:rPr>
          <w:rFonts w:hint="eastAsia" w:hAnsi="宋体"/>
          <w:color w:val="auto"/>
          <w:sz w:val="21"/>
          <w:highlight w:val="none"/>
          <w:lang w:val="en-US" w:eastAsia="zh-CN"/>
        </w:rPr>
        <w:t>4</w:t>
      </w:r>
      <w:r>
        <w:rPr>
          <w:rFonts w:hint="eastAsia" w:hAnsi="宋体"/>
          <w:color w:val="auto"/>
          <w:sz w:val="21"/>
          <w:highlight w:val="none"/>
        </w:rPr>
        <w:t>.</w:t>
      </w:r>
      <w:r>
        <w:rPr>
          <w:rFonts w:hint="eastAsia" w:hAnsi="宋体"/>
          <w:color w:val="auto"/>
          <w:sz w:val="21"/>
          <w:highlight w:val="none"/>
          <w:lang w:eastAsia="zh-CN"/>
        </w:rPr>
        <w:t>其他</w:t>
      </w:r>
      <w:r>
        <w:rPr>
          <w:rFonts w:hint="eastAsia" w:hAnsi="宋体"/>
          <w:color w:val="auto"/>
          <w:sz w:val="21"/>
          <w:highlight w:val="none"/>
        </w:rPr>
        <w:t>违约责任按《中华人民共和国民法典》处理。</w:t>
      </w:r>
    </w:p>
    <w:p w14:paraId="3F86D8B4">
      <w:pPr>
        <w:pStyle w:val="20"/>
        <w:snapToGrid w:val="0"/>
        <w:spacing w:line="360" w:lineRule="auto"/>
        <w:ind w:firstLine="413" w:firstLineChars="196"/>
        <w:rPr>
          <w:rFonts w:hint="eastAsia" w:hAnsi="宋体"/>
          <w:b/>
          <w:color w:val="auto"/>
          <w:sz w:val="21"/>
          <w:highlight w:val="none"/>
        </w:rPr>
      </w:pPr>
      <w:r>
        <w:rPr>
          <w:rFonts w:hint="eastAsia" w:hAnsi="宋体"/>
          <w:b/>
          <w:color w:val="auto"/>
          <w:sz w:val="21"/>
          <w:highlight w:val="none"/>
        </w:rPr>
        <w:t>第十一条  不可抗力事件处理</w:t>
      </w:r>
    </w:p>
    <w:p w14:paraId="467C1F8C">
      <w:pPr>
        <w:pStyle w:val="20"/>
        <w:snapToGrid w:val="0"/>
        <w:spacing w:line="360" w:lineRule="auto"/>
        <w:ind w:firstLine="420" w:firstLineChars="200"/>
        <w:rPr>
          <w:rFonts w:hint="eastAsia" w:hAnsi="宋体"/>
          <w:color w:val="auto"/>
          <w:sz w:val="21"/>
          <w:highlight w:val="none"/>
        </w:rPr>
      </w:pPr>
      <w:r>
        <w:rPr>
          <w:rFonts w:hint="eastAsia" w:hAnsi="宋体"/>
          <w:color w:val="auto"/>
          <w:sz w:val="21"/>
          <w:highlight w:val="none"/>
        </w:rPr>
        <w:t>1.在合同有效期内，任何一方因不可抗力事件导致不能履行合同，则合同履行期可延长，其延长期与不可抗力影响期相同。</w:t>
      </w:r>
    </w:p>
    <w:p w14:paraId="21809FAB">
      <w:pPr>
        <w:pStyle w:val="20"/>
        <w:snapToGrid w:val="0"/>
        <w:spacing w:line="360" w:lineRule="auto"/>
        <w:ind w:firstLine="420" w:firstLineChars="200"/>
        <w:rPr>
          <w:rFonts w:hint="eastAsia" w:hAnsi="宋体"/>
          <w:color w:val="auto"/>
          <w:sz w:val="21"/>
          <w:highlight w:val="none"/>
        </w:rPr>
      </w:pPr>
      <w:r>
        <w:rPr>
          <w:rFonts w:hint="eastAsia" w:hAnsi="宋体"/>
          <w:color w:val="auto"/>
          <w:sz w:val="21"/>
          <w:highlight w:val="none"/>
        </w:rPr>
        <w:t>2.不可抗力事件发生后，应立即通知对方，并寄送有关权威机构出具的证明。</w:t>
      </w:r>
    </w:p>
    <w:p w14:paraId="1160C50D">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3.不可抗力事件延续一百二十天以上，双方应通过友好协商，确定是否继续履行合同。</w:t>
      </w:r>
    </w:p>
    <w:p w14:paraId="6F714F84">
      <w:pPr>
        <w:snapToGrid w:val="0"/>
        <w:spacing w:line="360" w:lineRule="auto"/>
        <w:ind w:firstLine="422" w:firstLineChars="200"/>
        <w:rPr>
          <w:rFonts w:hint="eastAsia" w:ascii="宋体" w:hAnsi="宋体"/>
          <w:color w:val="auto"/>
          <w:szCs w:val="21"/>
          <w:highlight w:val="none"/>
        </w:rPr>
      </w:pPr>
      <w:r>
        <w:rPr>
          <w:rFonts w:hint="eastAsia" w:ascii="宋体" w:hAnsi="宋体"/>
          <w:b/>
          <w:color w:val="auto"/>
          <w:szCs w:val="21"/>
          <w:highlight w:val="none"/>
        </w:rPr>
        <w:t>第十二条  合同争议解决</w:t>
      </w:r>
    </w:p>
    <w:p w14:paraId="3B297974">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1.因服务质量问题发生争议的，应邀请国家认可的质量检测机构或专家组进行鉴定。服务符合标准的，鉴定费由甲方承担；服务不符合标准的，鉴定费由乙方承担。</w:t>
      </w:r>
    </w:p>
    <w:p w14:paraId="4907FFF4">
      <w:pPr>
        <w:autoSpaceDE w:val="0"/>
        <w:autoSpaceDN w:val="0"/>
        <w:adjustRightInd w:val="0"/>
        <w:spacing w:line="360" w:lineRule="auto"/>
        <w:ind w:left="100" w:right="42" w:firstLine="420"/>
        <w:rPr>
          <w:rFonts w:hint="eastAsia" w:ascii="宋体" w:hAnsi="宋体"/>
          <w:color w:val="auto"/>
          <w:szCs w:val="21"/>
          <w:highlight w:val="none"/>
        </w:rPr>
      </w:pPr>
      <w:r>
        <w:rPr>
          <w:rFonts w:hint="eastAsia" w:ascii="宋体" w:hAnsi="宋体"/>
          <w:color w:val="auto"/>
          <w:szCs w:val="21"/>
          <w:highlight w:val="none"/>
        </w:rPr>
        <w:t>2.因履行本合同引起的或者与本合同有关的争议，甲乙双方应首先通过友好协商解决，如果协商不能解决，按下列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w:t>
      </w:r>
      <w:r>
        <w:rPr>
          <w:rFonts w:hint="eastAsia" w:ascii="宋体" w:hAnsi="宋体"/>
          <w:color w:val="auto"/>
          <w:szCs w:val="21"/>
          <w:highlight w:val="none"/>
          <w:u w:val="single"/>
          <w:lang w:val="en-US" w:eastAsia="zh-CN"/>
        </w:rPr>
        <w:t>2</w:t>
      </w:r>
      <w:r>
        <w:rPr>
          <w:rFonts w:hint="eastAsia" w:ascii="宋体" w:hAnsi="宋体"/>
          <w:color w:val="auto"/>
          <w:szCs w:val="21"/>
          <w:highlight w:val="none"/>
          <w:u w:val="single"/>
          <w:lang w:eastAsia="zh-CN"/>
        </w:rPr>
        <w:t>）</w:t>
      </w:r>
      <w:r>
        <w:rPr>
          <w:rFonts w:hint="eastAsia" w:ascii="宋体" w:hAnsi="宋体"/>
          <w:color w:val="auto"/>
          <w:szCs w:val="21"/>
          <w:highlight w:val="none"/>
          <w:u w:val="single"/>
        </w:rPr>
        <w:t xml:space="preserve"> </w:t>
      </w:r>
      <w:r>
        <w:rPr>
          <w:rFonts w:hint="eastAsia" w:ascii="宋体" w:hAnsi="宋体"/>
          <w:color w:val="auto"/>
          <w:szCs w:val="21"/>
          <w:highlight w:val="none"/>
        </w:rPr>
        <w:t>方式解决：</w:t>
      </w:r>
    </w:p>
    <w:p w14:paraId="0A29C148">
      <w:pPr>
        <w:autoSpaceDE w:val="0"/>
        <w:autoSpaceDN w:val="0"/>
        <w:adjustRightInd w:val="0"/>
        <w:spacing w:line="360" w:lineRule="auto"/>
        <w:ind w:right="40" w:firstLine="420"/>
        <w:rPr>
          <w:rFonts w:hint="eastAsia" w:ascii="宋体" w:hAnsi="宋体"/>
          <w:color w:val="auto"/>
          <w:szCs w:val="21"/>
          <w:highlight w:val="none"/>
        </w:rPr>
      </w:pPr>
      <w:r>
        <w:rPr>
          <w:rFonts w:hint="eastAsia" w:ascii="宋体" w:hAnsi="宋体"/>
          <w:color w:val="auto"/>
          <w:szCs w:val="21"/>
          <w:highlight w:val="none"/>
        </w:rPr>
        <w:t>（1）向</w:t>
      </w:r>
      <w:r>
        <w:rPr>
          <w:rFonts w:hint="eastAsia" w:ascii="宋体" w:hAnsi="宋体"/>
          <w:color w:val="auto"/>
          <w:szCs w:val="21"/>
          <w:highlight w:val="none"/>
          <w:u w:val="single"/>
        </w:rPr>
        <w:t xml:space="preserve">     </w:t>
      </w:r>
      <w:r>
        <w:rPr>
          <w:rFonts w:hint="eastAsia" w:ascii="宋体" w:hAnsi="宋体"/>
          <w:color w:val="auto"/>
          <w:szCs w:val="21"/>
          <w:highlight w:val="none"/>
        </w:rPr>
        <w:t>仲裁委员会申请仲裁；</w:t>
      </w:r>
    </w:p>
    <w:p w14:paraId="039946E2">
      <w:pPr>
        <w:autoSpaceDE w:val="0"/>
        <w:autoSpaceDN w:val="0"/>
        <w:adjustRightInd w:val="0"/>
        <w:spacing w:line="360" w:lineRule="auto"/>
        <w:ind w:right="40" w:firstLine="420"/>
        <w:rPr>
          <w:rFonts w:hint="eastAsia" w:ascii="宋体" w:hAnsi="宋体"/>
          <w:color w:val="auto"/>
          <w:szCs w:val="21"/>
          <w:highlight w:val="none"/>
        </w:rPr>
      </w:pPr>
      <w:r>
        <w:rPr>
          <w:rFonts w:hint="eastAsia" w:ascii="宋体" w:hAnsi="宋体"/>
          <w:color w:val="auto"/>
          <w:szCs w:val="21"/>
          <w:highlight w:val="none"/>
        </w:rPr>
        <w:t>（2）向有管辖权的人民法院提起诉讼。</w:t>
      </w:r>
    </w:p>
    <w:p w14:paraId="2F6E10F4">
      <w:pPr>
        <w:snapToGrid w:val="0"/>
        <w:spacing w:line="360" w:lineRule="auto"/>
        <w:ind w:firstLine="422" w:firstLineChars="200"/>
        <w:rPr>
          <w:rFonts w:hint="eastAsia" w:ascii="宋体" w:hAnsi="宋体"/>
          <w:b/>
          <w:color w:val="auto"/>
          <w:szCs w:val="21"/>
          <w:highlight w:val="none"/>
        </w:rPr>
      </w:pPr>
      <w:r>
        <w:rPr>
          <w:rFonts w:hint="eastAsia" w:ascii="宋体" w:hAnsi="宋体"/>
          <w:b/>
          <w:color w:val="auto"/>
          <w:szCs w:val="21"/>
          <w:highlight w:val="none"/>
        </w:rPr>
        <w:t>第十三条　合同的变更、中止或者终止</w:t>
      </w:r>
    </w:p>
    <w:p w14:paraId="3D3D5A75">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 除《中华人民共和国政府采购法》第五十条规定的情形外，本合同一经签订，甲乙双方不得擅自变更、中止或者终止合同。</w:t>
      </w:r>
    </w:p>
    <w:p w14:paraId="1313A0BF">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2.采购合同继续履行将损害国家利益和社会公共利益的，双方当事人应当变更、中止或者终止合同。有过错的一方应当承担赔偿责任，双方都有过错的，各自承担相应的责任。</w:t>
      </w:r>
    </w:p>
    <w:p w14:paraId="0FD79050">
      <w:pPr>
        <w:snapToGrid w:val="0"/>
        <w:spacing w:line="360" w:lineRule="auto"/>
        <w:ind w:firstLine="422" w:firstLineChars="200"/>
        <w:rPr>
          <w:rFonts w:hint="eastAsia" w:ascii="宋体" w:hAnsi="宋体"/>
          <w:b/>
          <w:color w:val="auto"/>
          <w:szCs w:val="21"/>
          <w:highlight w:val="none"/>
        </w:rPr>
      </w:pPr>
      <w:r>
        <w:rPr>
          <w:rFonts w:hint="eastAsia" w:ascii="宋体" w:hAnsi="宋体"/>
          <w:b/>
          <w:color w:val="auto"/>
          <w:szCs w:val="21"/>
          <w:highlight w:val="none"/>
        </w:rPr>
        <w:t>第十四条　</w:t>
      </w:r>
      <w:r>
        <w:rPr>
          <w:rFonts w:hint="eastAsia" w:ascii="宋体" w:hAnsi="宋体" w:cs="微软雅黑"/>
          <w:b/>
          <w:color w:val="auto"/>
          <w:kern w:val="0"/>
          <w:szCs w:val="21"/>
          <w:highlight w:val="none"/>
        </w:rPr>
        <w:t>合</w:t>
      </w:r>
      <w:r>
        <w:rPr>
          <w:rFonts w:hint="eastAsia" w:ascii="宋体" w:hAnsi="宋体" w:cs="微软雅黑"/>
          <w:b/>
          <w:color w:val="auto"/>
          <w:spacing w:val="-2"/>
          <w:kern w:val="0"/>
          <w:szCs w:val="21"/>
          <w:highlight w:val="none"/>
        </w:rPr>
        <w:t>同</w:t>
      </w:r>
      <w:r>
        <w:rPr>
          <w:rFonts w:hint="eastAsia" w:ascii="宋体" w:hAnsi="宋体" w:cs="微软雅黑"/>
          <w:b/>
          <w:color w:val="auto"/>
          <w:kern w:val="0"/>
          <w:szCs w:val="21"/>
          <w:highlight w:val="none"/>
        </w:rPr>
        <w:t>文</w:t>
      </w:r>
      <w:r>
        <w:rPr>
          <w:rFonts w:hint="eastAsia" w:ascii="宋体" w:hAnsi="宋体" w:cs="微软雅黑"/>
          <w:b/>
          <w:color w:val="auto"/>
          <w:spacing w:val="-2"/>
          <w:kern w:val="0"/>
          <w:szCs w:val="21"/>
          <w:highlight w:val="none"/>
        </w:rPr>
        <w:t>件构成</w:t>
      </w:r>
    </w:p>
    <w:p w14:paraId="37765778">
      <w:pPr>
        <w:pStyle w:val="20"/>
        <w:snapToGrid w:val="0"/>
        <w:spacing w:line="360" w:lineRule="auto"/>
        <w:ind w:left="420" w:leftChars="200"/>
        <w:rPr>
          <w:rFonts w:hint="eastAsia" w:hAnsi="宋体"/>
          <w:color w:val="auto"/>
          <w:sz w:val="21"/>
          <w:highlight w:val="none"/>
        </w:rPr>
      </w:pPr>
      <w:r>
        <w:rPr>
          <w:rFonts w:hint="eastAsia" w:hAnsi="宋体"/>
          <w:color w:val="auto"/>
          <w:sz w:val="21"/>
          <w:highlight w:val="none"/>
        </w:rPr>
        <w:t>1.政府采购合同</w:t>
      </w:r>
    </w:p>
    <w:p w14:paraId="582FF7D8">
      <w:pPr>
        <w:pStyle w:val="20"/>
        <w:snapToGrid w:val="0"/>
        <w:spacing w:line="360" w:lineRule="auto"/>
        <w:ind w:left="420" w:leftChars="200"/>
        <w:rPr>
          <w:rFonts w:hint="eastAsia" w:hAnsi="宋体"/>
          <w:color w:val="auto"/>
          <w:sz w:val="21"/>
          <w:highlight w:val="none"/>
        </w:rPr>
      </w:pPr>
      <w:r>
        <w:rPr>
          <w:rFonts w:hint="eastAsia" w:hAnsi="宋体"/>
          <w:color w:val="auto"/>
          <w:sz w:val="21"/>
          <w:highlight w:val="none"/>
        </w:rPr>
        <w:t>2.中标（成交）通知书；</w:t>
      </w:r>
    </w:p>
    <w:p w14:paraId="77AF3258">
      <w:pPr>
        <w:pStyle w:val="20"/>
        <w:snapToGrid w:val="0"/>
        <w:spacing w:line="360" w:lineRule="auto"/>
        <w:ind w:left="420" w:leftChars="200"/>
        <w:rPr>
          <w:rFonts w:hint="eastAsia" w:hAnsi="宋体"/>
          <w:color w:val="auto"/>
          <w:sz w:val="21"/>
          <w:highlight w:val="none"/>
        </w:rPr>
      </w:pPr>
      <w:r>
        <w:rPr>
          <w:rFonts w:hint="eastAsia" w:hAnsi="宋体"/>
          <w:color w:val="auto"/>
          <w:sz w:val="21"/>
          <w:highlight w:val="none"/>
        </w:rPr>
        <w:t>3.投标（响应）文件；</w:t>
      </w:r>
    </w:p>
    <w:p w14:paraId="132AC055">
      <w:pPr>
        <w:pStyle w:val="20"/>
        <w:snapToGrid w:val="0"/>
        <w:spacing w:line="360" w:lineRule="auto"/>
        <w:ind w:left="420" w:leftChars="200"/>
        <w:rPr>
          <w:rFonts w:hint="eastAsia" w:hAnsi="宋体"/>
          <w:color w:val="auto"/>
          <w:sz w:val="21"/>
          <w:highlight w:val="none"/>
        </w:rPr>
      </w:pPr>
      <w:r>
        <w:rPr>
          <w:rFonts w:hint="eastAsia" w:hAnsi="宋体"/>
          <w:color w:val="auto"/>
          <w:sz w:val="21"/>
          <w:highlight w:val="none"/>
        </w:rPr>
        <w:t>4.采购文件及更正公告（澄清或补充通知）；</w:t>
      </w:r>
    </w:p>
    <w:p w14:paraId="0CD5789E">
      <w:pPr>
        <w:pStyle w:val="20"/>
        <w:snapToGrid w:val="0"/>
        <w:spacing w:line="360" w:lineRule="auto"/>
        <w:ind w:left="420" w:leftChars="200"/>
        <w:rPr>
          <w:rFonts w:hint="eastAsia" w:hAnsi="宋体"/>
          <w:color w:val="auto"/>
          <w:sz w:val="21"/>
          <w:highlight w:val="none"/>
        </w:rPr>
      </w:pPr>
      <w:r>
        <w:rPr>
          <w:rFonts w:hint="eastAsia" w:hAnsi="宋体"/>
          <w:color w:val="auto"/>
          <w:sz w:val="21"/>
          <w:highlight w:val="none"/>
        </w:rPr>
        <w:t>5.标准、规范及有关技术文件；</w:t>
      </w:r>
    </w:p>
    <w:p w14:paraId="0E35E62D">
      <w:pPr>
        <w:pStyle w:val="20"/>
        <w:snapToGrid w:val="0"/>
        <w:spacing w:line="360" w:lineRule="auto"/>
        <w:ind w:left="420" w:leftChars="200"/>
        <w:rPr>
          <w:rFonts w:hint="eastAsia" w:hAnsi="宋体"/>
          <w:color w:val="auto"/>
          <w:sz w:val="21"/>
          <w:highlight w:val="none"/>
        </w:rPr>
      </w:pPr>
      <w:r>
        <w:rPr>
          <w:rFonts w:hint="eastAsia" w:hAnsi="宋体"/>
          <w:color w:val="auto"/>
          <w:sz w:val="21"/>
          <w:highlight w:val="none"/>
        </w:rPr>
        <w:t>6.双方约定的其他合同文件。</w:t>
      </w:r>
    </w:p>
    <w:p w14:paraId="251377A6">
      <w:pPr>
        <w:pStyle w:val="20"/>
        <w:snapToGrid w:val="0"/>
        <w:spacing w:line="360" w:lineRule="auto"/>
        <w:ind w:firstLine="420" w:firstLineChars="200"/>
        <w:rPr>
          <w:rFonts w:hint="eastAsia" w:hAnsi="宋体"/>
          <w:color w:val="auto"/>
          <w:sz w:val="21"/>
          <w:highlight w:val="none"/>
        </w:rPr>
      </w:pPr>
      <w:r>
        <w:rPr>
          <w:rFonts w:hint="eastAsia" w:hAnsi="宋体"/>
          <w:color w:val="auto"/>
          <w:sz w:val="21"/>
          <w:highlight w:val="none"/>
        </w:rPr>
        <w:t>上述合同文件互相补充和解释。如果合同文件之间存在矛盾或者不一致之处，以上述文件的排列顺序在先者为准。</w:t>
      </w:r>
    </w:p>
    <w:p w14:paraId="04EFF0E0">
      <w:pPr>
        <w:snapToGrid w:val="0"/>
        <w:spacing w:line="360" w:lineRule="auto"/>
        <w:ind w:firstLine="422" w:firstLineChars="200"/>
        <w:rPr>
          <w:rFonts w:hint="eastAsia" w:ascii="宋体" w:hAnsi="宋体"/>
          <w:color w:val="auto"/>
          <w:szCs w:val="21"/>
          <w:highlight w:val="none"/>
        </w:rPr>
      </w:pPr>
      <w:r>
        <w:rPr>
          <w:rFonts w:hint="eastAsia" w:ascii="宋体" w:hAnsi="宋体"/>
          <w:b/>
          <w:color w:val="auto"/>
          <w:szCs w:val="21"/>
          <w:highlight w:val="none"/>
        </w:rPr>
        <w:t>第</w:t>
      </w:r>
      <w:r>
        <w:rPr>
          <w:rFonts w:hint="eastAsia" w:hAnsi="宋体"/>
          <w:b/>
          <w:color w:val="auto"/>
          <w:highlight w:val="none"/>
        </w:rPr>
        <w:t>十五</w:t>
      </w:r>
      <w:r>
        <w:rPr>
          <w:rFonts w:hint="eastAsia" w:ascii="宋体" w:hAnsi="宋体"/>
          <w:b/>
          <w:color w:val="auto"/>
          <w:szCs w:val="21"/>
          <w:highlight w:val="none"/>
        </w:rPr>
        <w:t>条　知识产权和保密要求</w:t>
      </w:r>
    </w:p>
    <w:p w14:paraId="06E5961D">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1.甲方在履行合同过程中提供给乙方的全部图纸、文件和其他含有数据和信息的资料，其知识产权属于甲方。</w:t>
      </w:r>
    </w:p>
    <w:p w14:paraId="609817F1">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2.除采购文件采购需求另有约定外，甲方不因签署和履行合同而享有乙方在履行合同过程中提供给甲方的图纸、文件、配套软件、电子辅助程序和其他含有数据和信息的资料的知识产权。</w:t>
      </w:r>
    </w:p>
    <w:p w14:paraId="4F89A7BA">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乙方应保证所提供服务及货物在使用时不会侵犯任何第三方的知识产权或者其他权利。如合同服务或货物涉及知识产权，则乙方保证甲方在使用合同服务或货物过程中免于受到第三方提出的有关知识产权侵权的主张、索赔或诉讼的伤害。</w:t>
      </w:r>
    </w:p>
    <w:p w14:paraId="0170E330">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4.如果甲方收到任何第三方有关知识产权的主张、索赔或诉讼，乙方在收到甲方通知后， 应以甲方名义并在甲方的协助下，自负费用处理与第三方的索赔或诉讼，并赔偿甲方因此发生的费用和遭受的损失。如果乙方拒绝处理前述索赔或诉讼或在收到甲方通知后28日内未作表示，甲方可以自己的名义进行这些索赔或诉讼，因此发生的费用和遭受的损失均应由乙方承担。</w:t>
      </w:r>
    </w:p>
    <w:p w14:paraId="42B17144">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5.未经甲方书面同意，乙方不得将由甲方提供的有关合同或者任何合同条款、规格、计划、图纸、样品或者资料提供给与履行本合同无关的任何其他人。即使向履行本合同有关的其他人员提供，也应注意保密并限于履行合同的必需范围。</w:t>
      </w:r>
    </w:p>
    <w:p w14:paraId="529C2905">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6.伴随货物的，乙方保证将要交付的货物的所有权完全属于乙方且无任何抵押、质押、查封等产权瑕疵。</w:t>
      </w:r>
    </w:p>
    <w:p w14:paraId="59326E40">
      <w:pPr>
        <w:pStyle w:val="20"/>
        <w:snapToGrid w:val="0"/>
        <w:spacing w:line="360" w:lineRule="auto"/>
        <w:ind w:firstLine="413" w:firstLineChars="196"/>
        <w:rPr>
          <w:rFonts w:hint="eastAsia" w:hAnsi="宋体"/>
          <w:b/>
          <w:color w:val="auto"/>
          <w:sz w:val="21"/>
          <w:highlight w:val="none"/>
          <w:lang w:eastAsia="zh-CN"/>
        </w:rPr>
      </w:pPr>
      <w:r>
        <w:rPr>
          <w:rFonts w:hint="eastAsia" w:hAnsi="宋体"/>
          <w:b/>
          <w:color w:val="auto"/>
          <w:sz w:val="21"/>
          <w:highlight w:val="none"/>
        </w:rPr>
        <w:t>第十六条  合同生效及</w:t>
      </w:r>
      <w:r>
        <w:rPr>
          <w:rFonts w:hint="eastAsia" w:hAnsi="宋体"/>
          <w:b/>
          <w:color w:val="auto"/>
          <w:sz w:val="21"/>
          <w:highlight w:val="none"/>
          <w:lang w:eastAsia="zh-CN"/>
        </w:rPr>
        <w:t>其他</w:t>
      </w:r>
    </w:p>
    <w:p w14:paraId="0F058C7A">
      <w:pPr>
        <w:pStyle w:val="20"/>
        <w:snapToGrid w:val="0"/>
        <w:spacing w:line="360" w:lineRule="auto"/>
        <w:ind w:firstLine="420" w:firstLineChars="200"/>
        <w:rPr>
          <w:rFonts w:hint="eastAsia" w:hAnsi="宋体"/>
          <w:color w:val="auto"/>
          <w:sz w:val="21"/>
          <w:highlight w:val="none"/>
        </w:rPr>
      </w:pPr>
      <w:r>
        <w:rPr>
          <w:rFonts w:hint="eastAsia" w:hAnsi="宋体"/>
          <w:color w:val="auto"/>
          <w:sz w:val="21"/>
          <w:highlight w:val="none"/>
        </w:rPr>
        <w:t>1.合同经双方法定代表人或者委托代理人签字并加盖单位公章后生效（委托代理人签字的需后附授权委托书，格式自拟）。</w:t>
      </w:r>
    </w:p>
    <w:p w14:paraId="321273F3">
      <w:pPr>
        <w:pStyle w:val="20"/>
        <w:snapToGrid w:val="0"/>
        <w:spacing w:line="360" w:lineRule="auto"/>
        <w:ind w:firstLine="420" w:firstLineChars="200"/>
        <w:rPr>
          <w:rFonts w:hint="eastAsia" w:hAnsi="宋体"/>
          <w:color w:val="auto"/>
          <w:sz w:val="21"/>
          <w:highlight w:val="none"/>
        </w:rPr>
      </w:pPr>
      <w:r>
        <w:rPr>
          <w:rFonts w:hint="eastAsia" w:hAnsi="宋体"/>
          <w:color w:val="auto"/>
          <w:sz w:val="21"/>
          <w:highlight w:val="none"/>
        </w:rPr>
        <w:t>2.合同执行中涉及采购资金和采购内容修改或者补充的，并签书面补充协议报财政部门备案，方可作为主合同不可分割的一部分。</w:t>
      </w:r>
    </w:p>
    <w:p w14:paraId="31A348A3">
      <w:pPr>
        <w:pStyle w:val="20"/>
        <w:snapToGrid w:val="0"/>
        <w:spacing w:line="360" w:lineRule="auto"/>
        <w:ind w:firstLine="420" w:firstLineChars="200"/>
        <w:rPr>
          <w:rFonts w:hint="eastAsia" w:hAnsi="宋体"/>
          <w:color w:val="auto"/>
          <w:sz w:val="21"/>
          <w:highlight w:val="none"/>
        </w:rPr>
      </w:pPr>
      <w:r>
        <w:rPr>
          <w:rFonts w:hint="eastAsia" w:hAnsi="宋体"/>
          <w:color w:val="auto"/>
          <w:sz w:val="21"/>
          <w:highlight w:val="none"/>
        </w:rPr>
        <w:t>3.合同生效后，甲乙双方不得因姓名、名称的变更或者法定代表人、负责人、承办人的变动而不履行合同义务。</w:t>
      </w:r>
    </w:p>
    <w:p w14:paraId="04741CE6">
      <w:pPr>
        <w:pStyle w:val="20"/>
        <w:snapToGrid w:val="0"/>
        <w:spacing w:line="360" w:lineRule="auto"/>
        <w:ind w:left="420" w:leftChars="200"/>
        <w:rPr>
          <w:rFonts w:hint="eastAsia" w:hAnsi="宋体"/>
          <w:color w:val="auto"/>
          <w:sz w:val="21"/>
          <w:highlight w:val="none"/>
        </w:rPr>
      </w:pPr>
      <w:r>
        <w:rPr>
          <w:rFonts w:hint="eastAsia" w:hAnsi="宋体"/>
          <w:color w:val="auto"/>
          <w:sz w:val="21"/>
          <w:highlight w:val="none"/>
        </w:rPr>
        <w:t>4.本合同未尽事宜，遵照《中华人民共和国民法典》有关条文执行。</w:t>
      </w:r>
    </w:p>
    <w:p w14:paraId="18436233">
      <w:pPr>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5.本合同一式</w:t>
      </w:r>
      <w:r>
        <w:rPr>
          <w:rFonts w:hint="eastAsia" w:ascii="宋体" w:hAnsi="宋体"/>
          <w:b/>
          <w:bCs/>
          <w:i w:val="0"/>
          <w:iCs/>
          <w:color w:val="auto"/>
          <w:sz w:val="24"/>
          <w:szCs w:val="24"/>
          <w:highlight w:val="none"/>
          <w:u w:val="single"/>
          <w:lang w:val="en-US" w:eastAsia="zh-CN"/>
        </w:rPr>
        <w:t>捌</w:t>
      </w:r>
      <w:r>
        <w:rPr>
          <w:rFonts w:hint="eastAsia" w:ascii="宋体" w:hAnsi="宋体"/>
          <w:color w:val="auto"/>
          <w:szCs w:val="21"/>
          <w:highlight w:val="none"/>
        </w:rPr>
        <w:t>份，具有同等法律效力，财政部门（政府采购监管部门）、采购代理机构各</w:t>
      </w:r>
      <w:r>
        <w:rPr>
          <w:rFonts w:hint="eastAsia" w:ascii="宋体" w:hAnsi="宋体"/>
          <w:color w:val="auto"/>
          <w:szCs w:val="21"/>
          <w:highlight w:val="none"/>
          <w:u w:val="single"/>
          <w:lang w:val="en-US" w:eastAsia="zh-CN"/>
        </w:rPr>
        <w:t>壹</w:t>
      </w:r>
      <w:r>
        <w:rPr>
          <w:rFonts w:hint="eastAsia" w:ascii="宋体" w:hAnsi="宋体"/>
          <w:color w:val="auto"/>
          <w:szCs w:val="21"/>
          <w:highlight w:val="none"/>
        </w:rPr>
        <w:t>份，甲乙双方各</w:t>
      </w:r>
      <w:r>
        <w:rPr>
          <w:rFonts w:hint="eastAsia" w:ascii="宋体" w:hAnsi="宋体"/>
          <w:color w:val="auto"/>
          <w:szCs w:val="21"/>
          <w:highlight w:val="none"/>
          <w:u w:val="single"/>
          <w:lang w:val="en-US" w:eastAsia="zh-CN"/>
        </w:rPr>
        <w:t>叁</w:t>
      </w:r>
      <w:r>
        <w:rPr>
          <w:rFonts w:hint="eastAsia" w:ascii="宋体" w:hAnsi="宋体"/>
          <w:color w:val="auto"/>
          <w:szCs w:val="21"/>
          <w:highlight w:val="none"/>
        </w:rPr>
        <w:t>份</w:t>
      </w:r>
      <w:r>
        <w:rPr>
          <w:rFonts w:hint="eastAsia" w:ascii="宋体" w:hAnsi="宋体"/>
          <w:i/>
          <w:color w:val="auto"/>
          <w:szCs w:val="21"/>
          <w:highlight w:val="none"/>
        </w:rPr>
        <w:t>（可根据需要另增加）</w:t>
      </w:r>
      <w:r>
        <w:rPr>
          <w:rFonts w:hint="eastAsia" w:ascii="宋体" w:hAnsi="宋体"/>
          <w:color w:val="auto"/>
          <w:szCs w:val="21"/>
          <w:highlight w:val="none"/>
        </w:rPr>
        <w:t>。</w:t>
      </w:r>
    </w:p>
    <w:p w14:paraId="3CFB39A8">
      <w:pPr>
        <w:spacing w:line="360" w:lineRule="auto"/>
        <w:ind w:firstLine="422" w:firstLineChars="200"/>
        <w:rPr>
          <w:rFonts w:hint="eastAsia" w:ascii="宋体" w:hAnsi="宋体" w:cs="宋体"/>
          <w:b/>
          <w:color w:val="auto"/>
          <w:szCs w:val="21"/>
          <w:highlight w:val="none"/>
        </w:rPr>
      </w:pPr>
    </w:p>
    <w:p w14:paraId="0C6DFB27">
      <w:pPr>
        <w:tabs>
          <w:tab w:val="left" w:pos="4395"/>
        </w:tabs>
        <w:spacing w:line="360" w:lineRule="auto"/>
        <w:rPr>
          <w:rFonts w:hint="eastAsia" w:ascii="宋体" w:hAnsi="宋体"/>
          <w:b/>
          <w:color w:val="auto"/>
          <w:szCs w:val="21"/>
          <w:highlight w:val="none"/>
        </w:rPr>
      </w:pPr>
      <w:r>
        <w:rPr>
          <w:rFonts w:hint="eastAsia" w:ascii="宋体" w:hAnsi="宋体"/>
          <w:b/>
          <w:color w:val="auto"/>
          <w:szCs w:val="21"/>
          <w:highlight w:val="none"/>
        </w:rPr>
        <w:t>甲方（盖章）：</w:t>
      </w:r>
      <w:r>
        <w:rPr>
          <w:rFonts w:hint="eastAsia" w:ascii="宋体" w:hAnsi="宋体"/>
          <w:b/>
          <w:color w:val="auto"/>
          <w:szCs w:val="21"/>
          <w:highlight w:val="none"/>
        </w:rPr>
        <w:tab/>
      </w:r>
      <w:r>
        <w:rPr>
          <w:rFonts w:hint="eastAsia" w:ascii="宋体" w:hAnsi="宋体"/>
          <w:b/>
          <w:color w:val="auto"/>
          <w:szCs w:val="21"/>
          <w:highlight w:val="none"/>
        </w:rPr>
        <w:t>乙方（盖章）：</w:t>
      </w:r>
    </w:p>
    <w:p w14:paraId="2C201022">
      <w:pPr>
        <w:tabs>
          <w:tab w:val="left" w:pos="4395"/>
        </w:tabs>
        <w:spacing w:line="360" w:lineRule="auto"/>
        <w:rPr>
          <w:rFonts w:hint="eastAsia" w:ascii="宋体" w:hAnsi="宋体"/>
          <w:b/>
          <w:color w:val="auto"/>
          <w:szCs w:val="21"/>
          <w:highlight w:val="none"/>
        </w:rPr>
      </w:pPr>
      <w:r>
        <w:rPr>
          <w:rFonts w:hint="eastAsia" w:ascii="宋体" w:hAnsi="宋体"/>
          <w:bCs/>
          <w:color w:val="auto"/>
          <w:szCs w:val="21"/>
          <w:highlight w:val="none"/>
        </w:rPr>
        <w:t>法定代表人或者委托代理人（签字）</w:t>
      </w:r>
      <w:r>
        <w:rPr>
          <w:rFonts w:hint="eastAsia" w:ascii="宋体" w:hAnsi="宋体"/>
          <w:b/>
          <w:color w:val="auto"/>
          <w:szCs w:val="21"/>
          <w:highlight w:val="none"/>
        </w:rPr>
        <w:t>：</w:t>
      </w:r>
      <w:r>
        <w:rPr>
          <w:rFonts w:hint="eastAsia" w:ascii="宋体" w:hAnsi="宋体"/>
          <w:b/>
          <w:color w:val="auto"/>
          <w:szCs w:val="21"/>
          <w:highlight w:val="none"/>
        </w:rPr>
        <w:tab/>
      </w:r>
      <w:r>
        <w:rPr>
          <w:rFonts w:hint="eastAsia" w:ascii="宋体" w:hAnsi="宋体"/>
          <w:bCs/>
          <w:color w:val="auto"/>
          <w:szCs w:val="21"/>
          <w:highlight w:val="none"/>
        </w:rPr>
        <w:t>法定代表人或者委托代理人（签字）</w:t>
      </w:r>
      <w:r>
        <w:rPr>
          <w:rFonts w:hint="eastAsia" w:ascii="宋体" w:hAnsi="宋体"/>
          <w:b/>
          <w:color w:val="auto"/>
          <w:szCs w:val="21"/>
          <w:highlight w:val="none"/>
        </w:rPr>
        <w:t xml:space="preserve">： </w:t>
      </w:r>
    </w:p>
    <w:p w14:paraId="39AB01CB">
      <w:pPr>
        <w:tabs>
          <w:tab w:val="left" w:pos="4395"/>
        </w:tabs>
        <w:spacing w:line="360" w:lineRule="auto"/>
        <w:rPr>
          <w:rFonts w:hint="eastAsia" w:ascii="宋体" w:hAnsi="宋体"/>
          <w:color w:val="auto"/>
          <w:szCs w:val="21"/>
          <w:highlight w:val="none"/>
        </w:rPr>
      </w:pPr>
    </w:p>
    <w:p w14:paraId="378D6C78">
      <w:pPr>
        <w:tabs>
          <w:tab w:val="left" w:pos="4395"/>
        </w:tabs>
        <w:spacing w:line="360" w:lineRule="auto"/>
        <w:rPr>
          <w:rFonts w:hint="eastAsia" w:ascii="宋体" w:hAnsi="宋体"/>
          <w:color w:val="auto"/>
          <w:szCs w:val="21"/>
          <w:highlight w:val="none"/>
        </w:rPr>
      </w:pPr>
      <w:r>
        <w:rPr>
          <w:rFonts w:hint="eastAsia" w:ascii="宋体" w:hAnsi="宋体"/>
          <w:color w:val="auto"/>
          <w:szCs w:val="21"/>
          <w:highlight w:val="none"/>
        </w:rPr>
        <w:t>签订</w:t>
      </w:r>
      <w:r>
        <w:rPr>
          <w:rFonts w:hint="eastAsia" w:ascii="宋体" w:hAnsi="宋体"/>
          <w:color w:val="auto"/>
          <w:szCs w:val="21"/>
          <w:highlight w:val="none"/>
        </w:rPr>
        <w:t>日期：　　　年　　月　　日</w:t>
      </w:r>
      <w:r>
        <w:rPr>
          <w:rFonts w:hint="eastAsia" w:ascii="宋体" w:hAnsi="宋体"/>
          <w:color w:val="auto"/>
          <w:szCs w:val="21"/>
          <w:highlight w:val="none"/>
        </w:rPr>
        <w:tab/>
      </w:r>
      <w:r>
        <w:rPr>
          <w:rFonts w:hint="eastAsia" w:ascii="宋体" w:hAnsi="宋体"/>
          <w:color w:val="auto"/>
          <w:szCs w:val="21"/>
          <w:highlight w:val="none"/>
        </w:rPr>
        <w:t>签订</w:t>
      </w:r>
      <w:r>
        <w:rPr>
          <w:rFonts w:hint="eastAsia" w:ascii="宋体" w:hAnsi="宋体"/>
          <w:color w:val="auto"/>
          <w:szCs w:val="21"/>
          <w:highlight w:val="none"/>
        </w:rPr>
        <w:t>日期：　　　年　　月　　日</w:t>
      </w:r>
    </w:p>
    <w:p w14:paraId="75CA5D0A">
      <w:pPr>
        <w:tabs>
          <w:tab w:val="left" w:pos="4395"/>
        </w:tabs>
        <w:spacing w:line="360" w:lineRule="auto"/>
        <w:rPr>
          <w:rFonts w:hint="eastAsia" w:ascii="宋体" w:hAnsi="宋体"/>
          <w:color w:val="auto"/>
          <w:szCs w:val="21"/>
          <w:highlight w:val="none"/>
        </w:rPr>
      </w:pPr>
      <w:r>
        <w:rPr>
          <w:rFonts w:hint="eastAsia" w:ascii="宋体" w:hAnsi="宋体"/>
          <w:color w:val="auto"/>
          <w:szCs w:val="21"/>
          <w:highlight w:val="none"/>
        </w:rPr>
        <w:tab/>
      </w:r>
      <w:r>
        <w:rPr>
          <w:rFonts w:hint="eastAsia" w:ascii="宋体" w:hAnsi="宋体"/>
          <w:color w:val="auto"/>
          <w:szCs w:val="21"/>
          <w:highlight w:val="none"/>
        </w:rPr>
        <w:t>开户名称：</w:t>
      </w:r>
    </w:p>
    <w:p w14:paraId="1A819A17">
      <w:pPr>
        <w:tabs>
          <w:tab w:val="left" w:pos="4395"/>
        </w:tabs>
        <w:spacing w:line="360" w:lineRule="auto"/>
        <w:rPr>
          <w:rFonts w:hint="eastAsia" w:ascii="宋体" w:hAnsi="宋体"/>
          <w:color w:val="auto"/>
          <w:szCs w:val="21"/>
          <w:highlight w:val="none"/>
        </w:rPr>
      </w:pPr>
      <w:r>
        <w:rPr>
          <w:rFonts w:hint="eastAsia" w:ascii="宋体" w:hAnsi="宋体"/>
          <w:color w:val="auto"/>
          <w:szCs w:val="21"/>
          <w:highlight w:val="none"/>
        </w:rPr>
        <w:tab/>
      </w:r>
      <w:r>
        <w:rPr>
          <w:rFonts w:hint="eastAsia" w:ascii="宋体" w:hAnsi="宋体"/>
          <w:color w:val="auto"/>
          <w:szCs w:val="21"/>
          <w:highlight w:val="none"/>
        </w:rPr>
        <w:t>银行账号：</w:t>
      </w:r>
    </w:p>
    <w:p w14:paraId="48B828B9">
      <w:pPr>
        <w:tabs>
          <w:tab w:val="left" w:pos="4395"/>
        </w:tabs>
        <w:spacing w:line="360" w:lineRule="auto"/>
        <w:rPr>
          <w:rFonts w:hint="eastAsia" w:ascii="宋体" w:hAnsi="宋体"/>
          <w:color w:val="auto"/>
          <w:szCs w:val="21"/>
          <w:highlight w:val="none"/>
        </w:rPr>
      </w:pPr>
      <w:r>
        <w:rPr>
          <w:rFonts w:hint="eastAsia" w:ascii="宋体" w:hAnsi="宋体"/>
          <w:color w:val="auto"/>
          <w:szCs w:val="21"/>
          <w:highlight w:val="none"/>
        </w:rPr>
        <w:tab/>
      </w:r>
      <w:r>
        <w:rPr>
          <w:rFonts w:hint="eastAsia" w:ascii="宋体" w:hAnsi="宋体"/>
          <w:color w:val="auto"/>
          <w:szCs w:val="21"/>
          <w:highlight w:val="none"/>
        </w:rPr>
        <w:t>开 户 行：</w:t>
      </w:r>
    </w:p>
    <w:p w14:paraId="23A0D9DE">
      <w:pPr>
        <w:tabs>
          <w:tab w:val="left" w:pos="4395"/>
        </w:tabs>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                                          机构代码：</w:t>
      </w:r>
    </w:p>
    <w:p w14:paraId="04881441">
      <w:pPr>
        <w:jc w:val="center"/>
        <w:rPr>
          <w:rFonts w:hint="eastAsia" w:ascii="宋体" w:hAnsi="宋体"/>
          <w:color w:val="auto"/>
          <w:szCs w:val="21"/>
          <w:highlight w:val="none"/>
        </w:rPr>
      </w:pPr>
    </w:p>
    <w:p w14:paraId="2E1033CF">
      <w:pPr>
        <w:snapToGrid w:val="0"/>
        <w:spacing w:line="360" w:lineRule="auto"/>
        <w:jc w:val="center"/>
        <w:rPr>
          <w:rFonts w:hint="eastAsia" w:ascii="宋体" w:hAnsi="宋体"/>
          <w:b/>
          <w:color w:val="auto"/>
          <w:szCs w:val="21"/>
          <w:highlight w:val="none"/>
        </w:rPr>
      </w:pPr>
      <w:r>
        <w:rPr>
          <w:rFonts w:ascii="宋体" w:hAnsi="宋体"/>
          <w:b/>
          <w:color w:val="auto"/>
          <w:szCs w:val="21"/>
          <w:highlight w:val="none"/>
        </w:rPr>
        <w:br w:type="page"/>
      </w:r>
      <w:r>
        <w:rPr>
          <w:rFonts w:hint="eastAsia" w:ascii="宋体" w:hAnsi="宋体"/>
          <w:b/>
          <w:color w:val="auto"/>
          <w:szCs w:val="21"/>
          <w:highlight w:val="none"/>
        </w:rPr>
        <w:t>合 同 附 件</w:t>
      </w:r>
    </w:p>
    <w:p w14:paraId="3A243F5E">
      <w:pPr>
        <w:snapToGrid w:val="0"/>
        <w:spacing w:line="360" w:lineRule="auto"/>
        <w:rPr>
          <w:rFonts w:hint="eastAsia" w:ascii="宋体" w:hAnsi="宋体"/>
          <w:color w:val="auto"/>
          <w:szCs w:val="21"/>
          <w:highlight w:val="none"/>
        </w:rPr>
      </w:pPr>
      <w:r>
        <w:rPr>
          <w:rFonts w:hint="eastAsia" w:ascii="宋体" w:hAnsi="宋体"/>
          <w:color w:val="auto"/>
          <w:szCs w:val="21"/>
          <w:highlight w:val="none"/>
        </w:rPr>
        <w:t>一般服务类</w:t>
      </w:r>
    </w:p>
    <w:tbl>
      <w:tblPr>
        <w:tblStyle w:val="35"/>
        <w:tblW w:w="0" w:type="auto"/>
        <w:tblInd w:w="0" w:type="dxa"/>
        <w:tblLayout w:type="fixed"/>
        <w:tblCellMar>
          <w:top w:w="0" w:type="dxa"/>
          <w:left w:w="108" w:type="dxa"/>
          <w:bottom w:w="0" w:type="dxa"/>
          <w:right w:w="108" w:type="dxa"/>
        </w:tblCellMar>
      </w:tblPr>
      <w:tblGrid>
        <w:gridCol w:w="4248"/>
        <w:gridCol w:w="4274"/>
      </w:tblGrid>
      <w:tr w14:paraId="55FEE101">
        <w:tblPrEx>
          <w:tblCellMar>
            <w:top w:w="0" w:type="dxa"/>
            <w:left w:w="108" w:type="dxa"/>
            <w:bottom w:w="0" w:type="dxa"/>
            <w:right w:w="108" w:type="dxa"/>
          </w:tblCellMar>
        </w:tblPrEx>
        <w:trPr>
          <w:trHeight w:val="1226" w:hRule="atLeast"/>
        </w:trPr>
        <w:tc>
          <w:tcPr>
            <w:tcW w:w="8522" w:type="dxa"/>
            <w:gridSpan w:val="2"/>
            <w:tcBorders>
              <w:top w:val="single" w:color="auto" w:sz="4" w:space="0"/>
              <w:left w:val="single" w:color="auto" w:sz="4" w:space="0"/>
              <w:right w:val="single" w:color="auto" w:sz="4" w:space="0"/>
            </w:tcBorders>
            <w:noWrap w:val="0"/>
            <w:vAlign w:val="top"/>
          </w:tcPr>
          <w:p w14:paraId="0C3CFB37">
            <w:pPr>
              <w:snapToGrid w:val="0"/>
              <w:spacing w:line="360" w:lineRule="auto"/>
              <w:ind w:firstLine="422" w:firstLineChars="200"/>
              <w:rPr>
                <w:rFonts w:hint="eastAsia" w:ascii="宋体" w:hAnsi="宋体"/>
                <w:b/>
                <w:color w:val="auto"/>
                <w:szCs w:val="21"/>
                <w:highlight w:val="none"/>
              </w:rPr>
            </w:pPr>
            <w:r>
              <w:rPr>
                <w:rFonts w:hint="eastAsia" w:ascii="宋体" w:hAnsi="宋体"/>
                <w:b/>
                <w:color w:val="auto"/>
                <w:szCs w:val="21"/>
                <w:highlight w:val="none"/>
              </w:rPr>
              <w:t>1. 供应商承诺具体事项：</w:t>
            </w:r>
          </w:p>
        </w:tc>
      </w:tr>
      <w:tr w14:paraId="3CB9E4D9">
        <w:tblPrEx>
          <w:tblCellMar>
            <w:top w:w="0" w:type="dxa"/>
            <w:left w:w="108" w:type="dxa"/>
            <w:bottom w:w="0" w:type="dxa"/>
            <w:right w:w="108" w:type="dxa"/>
          </w:tblCellMar>
        </w:tblPrEx>
        <w:trPr>
          <w:trHeight w:val="1228" w:hRule="atLeast"/>
        </w:trPr>
        <w:tc>
          <w:tcPr>
            <w:tcW w:w="8522" w:type="dxa"/>
            <w:gridSpan w:val="2"/>
            <w:tcBorders>
              <w:top w:val="single" w:color="auto" w:sz="4" w:space="0"/>
              <w:left w:val="single" w:color="auto" w:sz="4" w:space="0"/>
              <w:right w:val="single" w:color="auto" w:sz="4" w:space="0"/>
            </w:tcBorders>
            <w:noWrap w:val="0"/>
            <w:vAlign w:val="top"/>
          </w:tcPr>
          <w:p w14:paraId="28D5C78D">
            <w:pPr>
              <w:snapToGrid w:val="0"/>
              <w:spacing w:line="360" w:lineRule="auto"/>
              <w:ind w:firstLine="422" w:firstLineChars="200"/>
              <w:rPr>
                <w:rFonts w:hint="eastAsia" w:ascii="宋体" w:hAnsi="宋体"/>
                <w:b/>
                <w:color w:val="auto"/>
                <w:szCs w:val="21"/>
                <w:highlight w:val="none"/>
              </w:rPr>
            </w:pPr>
            <w:r>
              <w:rPr>
                <w:rFonts w:hint="eastAsia" w:ascii="宋体" w:hAnsi="宋体"/>
                <w:b/>
                <w:color w:val="auto"/>
                <w:szCs w:val="21"/>
                <w:highlight w:val="none"/>
              </w:rPr>
              <w:t>2. 售后服务具体事项：</w:t>
            </w:r>
          </w:p>
        </w:tc>
      </w:tr>
      <w:tr w14:paraId="422148F8">
        <w:tblPrEx>
          <w:tblCellMar>
            <w:top w:w="0" w:type="dxa"/>
            <w:left w:w="108" w:type="dxa"/>
            <w:bottom w:w="0" w:type="dxa"/>
            <w:right w:w="108" w:type="dxa"/>
          </w:tblCellMar>
        </w:tblPrEx>
        <w:trPr>
          <w:trHeight w:val="1088" w:hRule="atLeast"/>
        </w:trPr>
        <w:tc>
          <w:tcPr>
            <w:tcW w:w="8522" w:type="dxa"/>
            <w:gridSpan w:val="2"/>
            <w:tcBorders>
              <w:top w:val="single" w:color="auto" w:sz="4" w:space="0"/>
              <w:left w:val="single" w:color="auto" w:sz="4" w:space="0"/>
              <w:right w:val="single" w:color="auto" w:sz="4" w:space="0"/>
            </w:tcBorders>
            <w:noWrap w:val="0"/>
            <w:vAlign w:val="top"/>
          </w:tcPr>
          <w:p w14:paraId="403F5B2A">
            <w:pPr>
              <w:snapToGrid w:val="0"/>
              <w:spacing w:line="360" w:lineRule="auto"/>
              <w:ind w:firstLine="422" w:firstLineChars="200"/>
              <w:rPr>
                <w:rFonts w:hint="eastAsia" w:ascii="宋体" w:hAnsi="宋体"/>
                <w:b/>
                <w:color w:val="auto"/>
                <w:szCs w:val="21"/>
                <w:highlight w:val="none"/>
              </w:rPr>
            </w:pPr>
            <w:r>
              <w:rPr>
                <w:rFonts w:hint="eastAsia" w:ascii="宋体" w:hAnsi="宋体"/>
                <w:b/>
                <w:color w:val="auto"/>
                <w:szCs w:val="21"/>
                <w:highlight w:val="none"/>
              </w:rPr>
              <w:t>3. 质保期责任：</w:t>
            </w:r>
          </w:p>
        </w:tc>
      </w:tr>
      <w:tr w14:paraId="3072D0DF">
        <w:tblPrEx>
          <w:tblCellMar>
            <w:top w:w="0" w:type="dxa"/>
            <w:left w:w="108" w:type="dxa"/>
            <w:bottom w:w="0" w:type="dxa"/>
            <w:right w:w="108" w:type="dxa"/>
          </w:tblCellMar>
        </w:tblPrEx>
        <w:trPr>
          <w:trHeight w:val="1360" w:hRule="atLeast"/>
        </w:trPr>
        <w:tc>
          <w:tcPr>
            <w:tcW w:w="8522" w:type="dxa"/>
            <w:gridSpan w:val="2"/>
            <w:tcBorders>
              <w:top w:val="single" w:color="auto" w:sz="4" w:space="0"/>
              <w:left w:val="single" w:color="auto" w:sz="4" w:space="0"/>
              <w:right w:val="single" w:color="auto" w:sz="4" w:space="0"/>
            </w:tcBorders>
            <w:noWrap w:val="0"/>
            <w:vAlign w:val="top"/>
          </w:tcPr>
          <w:p w14:paraId="0C8A1902">
            <w:pPr>
              <w:snapToGrid w:val="0"/>
              <w:spacing w:line="360" w:lineRule="auto"/>
              <w:ind w:firstLine="422" w:firstLineChars="200"/>
              <w:rPr>
                <w:rFonts w:hint="eastAsia" w:ascii="宋体" w:hAnsi="宋体"/>
                <w:b/>
                <w:color w:val="auto"/>
                <w:szCs w:val="21"/>
                <w:highlight w:val="none"/>
              </w:rPr>
            </w:pPr>
            <w:r>
              <w:rPr>
                <w:rFonts w:hint="eastAsia" w:ascii="宋体" w:hAnsi="宋体"/>
                <w:b/>
                <w:color w:val="auto"/>
                <w:szCs w:val="21"/>
                <w:highlight w:val="none"/>
              </w:rPr>
              <w:t>4. 其他具体事项：</w:t>
            </w:r>
          </w:p>
        </w:tc>
      </w:tr>
      <w:tr w14:paraId="6C1E168A">
        <w:tblPrEx>
          <w:tblCellMar>
            <w:top w:w="0" w:type="dxa"/>
            <w:left w:w="108" w:type="dxa"/>
            <w:bottom w:w="0" w:type="dxa"/>
            <w:right w:w="108" w:type="dxa"/>
          </w:tblCellMar>
        </w:tblPrEx>
        <w:trPr>
          <w:trHeight w:val="1703" w:hRule="atLeast"/>
        </w:trPr>
        <w:tc>
          <w:tcPr>
            <w:tcW w:w="4248" w:type="dxa"/>
            <w:tcBorders>
              <w:top w:val="single" w:color="auto" w:sz="4" w:space="0"/>
              <w:left w:val="single" w:color="auto" w:sz="4" w:space="0"/>
              <w:bottom w:val="single" w:color="auto" w:sz="4" w:space="0"/>
              <w:right w:val="single" w:color="auto" w:sz="4" w:space="0"/>
            </w:tcBorders>
            <w:noWrap w:val="0"/>
            <w:vAlign w:val="center"/>
          </w:tcPr>
          <w:p w14:paraId="4C0129EB">
            <w:pPr>
              <w:snapToGrid w:val="0"/>
              <w:spacing w:line="360" w:lineRule="auto"/>
              <w:ind w:firstLine="422" w:firstLineChars="200"/>
              <w:rPr>
                <w:rFonts w:hint="eastAsia" w:ascii="宋体" w:hAnsi="宋体"/>
                <w:b/>
                <w:color w:val="auto"/>
                <w:szCs w:val="21"/>
                <w:highlight w:val="none"/>
              </w:rPr>
            </w:pPr>
            <w:r>
              <w:rPr>
                <w:rFonts w:hint="eastAsia" w:ascii="宋体" w:hAnsi="宋体"/>
                <w:b/>
                <w:color w:val="auto"/>
                <w:szCs w:val="21"/>
                <w:highlight w:val="none"/>
              </w:rPr>
              <w:t>甲方（章）</w:t>
            </w:r>
          </w:p>
          <w:p w14:paraId="2F36D8C0">
            <w:pPr>
              <w:snapToGrid w:val="0"/>
              <w:spacing w:line="360" w:lineRule="auto"/>
              <w:ind w:firstLine="422" w:firstLineChars="200"/>
              <w:rPr>
                <w:rFonts w:hint="eastAsia" w:ascii="宋体" w:hAnsi="宋体"/>
                <w:b/>
                <w:color w:val="auto"/>
                <w:szCs w:val="21"/>
                <w:highlight w:val="none"/>
              </w:rPr>
            </w:pPr>
          </w:p>
          <w:p w14:paraId="78550912">
            <w:pPr>
              <w:snapToGrid w:val="0"/>
              <w:spacing w:line="360" w:lineRule="auto"/>
              <w:rPr>
                <w:rFonts w:hint="eastAsia" w:ascii="宋体" w:hAnsi="宋体"/>
                <w:b/>
                <w:color w:val="auto"/>
                <w:szCs w:val="21"/>
                <w:highlight w:val="none"/>
              </w:rPr>
            </w:pPr>
          </w:p>
          <w:p w14:paraId="45D92C1A">
            <w:pPr>
              <w:snapToGrid w:val="0"/>
              <w:spacing w:line="360" w:lineRule="auto"/>
              <w:ind w:firstLine="422" w:firstLineChars="200"/>
              <w:rPr>
                <w:rFonts w:hint="eastAsia" w:ascii="宋体" w:hAnsi="宋体"/>
                <w:b/>
                <w:color w:val="auto"/>
                <w:szCs w:val="21"/>
                <w:highlight w:val="none"/>
              </w:rPr>
            </w:pPr>
            <w:r>
              <w:rPr>
                <w:rFonts w:hint="eastAsia" w:ascii="宋体" w:hAnsi="宋体"/>
                <w:b/>
                <w:color w:val="auto"/>
                <w:szCs w:val="21"/>
                <w:highlight w:val="none"/>
              </w:rPr>
              <w:t xml:space="preserve">                 年   月   日 </w:t>
            </w:r>
          </w:p>
        </w:tc>
        <w:tc>
          <w:tcPr>
            <w:tcW w:w="4274" w:type="dxa"/>
            <w:tcBorders>
              <w:top w:val="single" w:color="auto" w:sz="4" w:space="0"/>
              <w:left w:val="single" w:color="auto" w:sz="4" w:space="0"/>
              <w:bottom w:val="single" w:color="auto" w:sz="4" w:space="0"/>
              <w:right w:val="single" w:color="auto" w:sz="4" w:space="0"/>
            </w:tcBorders>
            <w:noWrap w:val="0"/>
            <w:vAlign w:val="center"/>
          </w:tcPr>
          <w:p w14:paraId="09B4A7CB">
            <w:pPr>
              <w:snapToGrid w:val="0"/>
              <w:spacing w:line="360" w:lineRule="auto"/>
              <w:ind w:firstLine="422" w:firstLineChars="200"/>
              <w:rPr>
                <w:rFonts w:hint="eastAsia" w:ascii="宋体" w:hAnsi="宋体"/>
                <w:b/>
                <w:color w:val="auto"/>
                <w:szCs w:val="21"/>
                <w:highlight w:val="none"/>
              </w:rPr>
            </w:pPr>
            <w:r>
              <w:rPr>
                <w:rFonts w:hint="eastAsia" w:ascii="宋体" w:hAnsi="宋体"/>
                <w:b/>
                <w:color w:val="auto"/>
                <w:szCs w:val="21"/>
                <w:highlight w:val="none"/>
              </w:rPr>
              <w:t>乙方（章）</w:t>
            </w:r>
          </w:p>
          <w:p w14:paraId="59574C12">
            <w:pPr>
              <w:snapToGrid w:val="0"/>
              <w:spacing w:line="360" w:lineRule="auto"/>
              <w:ind w:firstLine="422" w:firstLineChars="200"/>
              <w:rPr>
                <w:rFonts w:hint="eastAsia" w:ascii="宋体" w:hAnsi="宋体"/>
                <w:b/>
                <w:color w:val="auto"/>
                <w:szCs w:val="21"/>
                <w:highlight w:val="none"/>
              </w:rPr>
            </w:pPr>
          </w:p>
          <w:p w14:paraId="5EC06193">
            <w:pPr>
              <w:snapToGrid w:val="0"/>
              <w:spacing w:line="360" w:lineRule="auto"/>
              <w:rPr>
                <w:rFonts w:hint="eastAsia" w:ascii="宋体" w:hAnsi="宋体"/>
                <w:b/>
                <w:color w:val="auto"/>
                <w:szCs w:val="21"/>
                <w:highlight w:val="none"/>
              </w:rPr>
            </w:pPr>
          </w:p>
          <w:p w14:paraId="523A120F">
            <w:pPr>
              <w:snapToGrid w:val="0"/>
              <w:spacing w:line="360" w:lineRule="auto"/>
              <w:ind w:firstLine="422" w:firstLineChars="200"/>
              <w:rPr>
                <w:rFonts w:hint="eastAsia" w:ascii="宋体" w:hAnsi="宋体"/>
                <w:b/>
                <w:color w:val="auto"/>
                <w:szCs w:val="21"/>
                <w:highlight w:val="none"/>
              </w:rPr>
            </w:pPr>
            <w:r>
              <w:rPr>
                <w:rFonts w:hint="eastAsia" w:ascii="宋体" w:hAnsi="宋体"/>
                <w:b/>
                <w:color w:val="auto"/>
                <w:szCs w:val="21"/>
                <w:highlight w:val="none"/>
              </w:rPr>
              <w:t xml:space="preserve">                年   月   日</w:t>
            </w:r>
          </w:p>
        </w:tc>
      </w:tr>
    </w:tbl>
    <w:p w14:paraId="70C69B6A">
      <w:pPr>
        <w:snapToGrid w:val="0"/>
        <w:spacing w:line="360" w:lineRule="auto"/>
        <w:jc w:val="left"/>
        <w:rPr>
          <w:rFonts w:hint="eastAsia" w:ascii="宋体" w:hAnsi="宋体"/>
          <w:color w:val="auto"/>
          <w:szCs w:val="21"/>
          <w:highlight w:val="none"/>
        </w:rPr>
      </w:pPr>
      <w:r>
        <w:rPr>
          <w:rFonts w:hint="eastAsia" w:ascii="宋体" w:hAnsi="宋体"/>
          <w:color w:val="auto"/>
          <w:szCs w:val="21"/>
          <w:highlight w:val="none"/>
        </w:rPr>
        <w:t xml:space="preserve">   注：售后服务事项填不下时可另加附页</w:t>
      </w:r>
    </w:p>
    <w:p w14:paraId="4A013DBE">
      <w:pPr>
        <w:pStyle w:val="20"/>
        <w:spacing w:line="360" w:lineRule="auto"/>
        <w:ind w:left="25" w:leftChars="12" w:firstLine="310" w:firstLineChars="147"/>
        <w:rPr>
          <w:rFonts w:hint="eastAsia" w:hAnsi="宋体"/>
          <w:b/>
          <w:color w:val="auto"/>
          <w:highlight w:val="none"/>
        </w:rPr>
      </w:pPr>
    </w:p>
    <w:p w14:paraId="24E32191">
      <w:pPr>
        <w:pStyle w:val="34"/>
        <w:rPr>
          <w:rFonts w:hint="eastAsia"/>
          <w:color w:val="auto"/>
          <w:highlight w:val="none"/>
          <w:lang w:eastAsia="zh-CN"/>
        </w:rPr>
      </w:pPr>
    </w:p>
    <w:p w14:paraId="3064A03B">
      <w:pPr>
        <w:keepNext w:val="0"/>
        <w:keepLines w:val="0"/>
        <w:pageBreakBefore w:val="0"/>
        <w:widowControl w:val="0"/>
        <w:bidi w:val="0"/>
        <w:spacing w:line="520" w:lineRule="exact"/>
        <w:jc w:val="both"/>
        <w:outlineLvl w:val="9"/>
        <w:rPr>
          <w:rFonts w:hint="eastAsia" w:ascii="宋体" w:hAnsi="宋体" w:eastAsia="宋体" w:cs="宋体"/>
          <w:color w:val="auto"/>
          <w:highlight w:val="none"/>
        </w:rPr>
      </w:pPr>
    </w:p>
    <w:p w14:paraId="4C9A4FF3">
      <w:pPr>
        <w:keepNext w:val="0"/>
        <w:keepLines w:val="0"/>
        <w:pageBreakBefore w:val="0"/>
        <w:widowControl w:val="0"/>
        <w:bidi w:val="0"/>
        <w:spacing w:line="520" w:lineRule="exact"/>
        <w:jc w:val="both"/>
        <w:outlineLvl w:val="9"/>
        <w:rPr>
          <w:rFonts w:hint="eastAsia" w:ascii="宋体" w:hAnsi="宋体" w:eastAsia="宋体" w:cs="宋体"/>
          <w:color w:val="auto"/>
          <w:highlight w:val="none"/>
        </w:rPr>
      </w:pPr>
    </w:p>
    <w:sectPr>
      <w:footerReference r:id="rId8" w:type="first"/>
      <w:footerReference r:id="rId7" w:type="default"/>
      <w:pgSz w:w="11906" w:h="16838"/>
      <w:pgMar w:top="1440" w:right="1440" w:bottom="1440" w:left="1587" w:header="851" w:footer="992" w:gutter="0"/>
      <w:cols w:space="1701"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entury">
    <w:altName w:val="Times New Roman"/>
    <w:panose1 w:val="02040502050405020303"/>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等线 Light">
    <w:altName w:val="宋体"/>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华文细黑">
    <w:altName w:val="微软雅黑"/>
    <w:panose1 w:val="02010600040101010101"/>
    <w:charset w:val="00"/>
    <w:family w:val="auto"/>
    <w:pitch w:val="default"/>
    <w:sig w:usb0="00000000" w:usb1="00000000" w:usb2="00000000" w:usb3="00000000" w:csb0="00000000" w:csb1="00000000"/>
  </w:font>
  <w:font w:name="Wingdings 2">
    <w:altName w:val="Wingdings"/>
    <w:panose1 w:val="05020102010507070707"/>
    <w:charset w:val="00"/>
    <w:family w:val="auto"/>
    <w:pitch w:val="default"/>
    <w:sig w:usb0="00000000" w:usb1="00000000" w:usb2="00000000" w:usb3="00000000" w:csb0="00000000"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8AB99">
    <w:pPr>
      <w:pStyle w:val="229"/>
      <w:tabs>
        <w:tab w:val="center" w:pos="4439"/>
      </w:tabs>
      <w:jc w:val="both"/>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717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24C1424">
                          <w:pPr>
                            <w:pStyle w:val="229"/>
                          </w:pPr>
                          <w:r>
                            <w:fldChar w:fldCharType="begin"/>
                          </w:r>
                          <w:r>
                            <w:instrText xml:space="preserve"> PAGE  \* MERGEFORMAT </w:instrText>
                          </w:r>
                          <w:r>
                            <w:fldChar w:fldCharType="separate"/>
                          </w:r>
                          <w:r>
                            <w:t>5</w:t>
                          </w:r>
                          <w:r>
                            <w:fldChar w:fldCharType="end"/>
                          </w:r>
                        </w:p>
                      </w:txbxContent>
                    </wps:txbx>
                    <wps:bodyPr wrap="none" lIns="0" tIns="0" rIns="0" bIns="0" upright="1">
                      <a:spAutoFit/>
                    </wps:bodyPr>
                  </wps:wsp>
                </a:graphicData>
              </a:graphic>
            </wp:anchor>
          </w:drawing>
        </mc:Choice>
        <mc:Fallback>
          <w:pict>
            <v:shape id="_x0000_s717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dH6lPxgEAAKgDAAAOAAAAAAAAAAEAIAAAAB4BAABkcnMvZTJvRG9jLnht&#10;bFBLBQYAAAAABgAGAFkBAABWBQAAAAA=&#10;">
              <v:fill on="f" focussize="0,0"/>
              <v:stroke on="f"/>
              <v:imagedata o:title=""/>
              <o:lock v:ext="edit" aspectratio="f"/>
              <v:textbox inset="0mm,0mm,0mm,0mm" style="mso-fit-shape-to-text:t;">
                <w:txbxContent>
                  <w:p w14:paraId="724C1424">
                    <w:pPr>
                      <w:pStyle w:val="229"/>
                    </w:pPr>
                    <w:r>
                      <w:fldChar w:fldCharType="begin"/>
                    </w:r>
                    <w:r>
                      <w:instrText xml:space="preserve"> PAGE  \* MERGEFORMAT </w:instrText>
                    </w:r>
                    <w:r>
                      <w:fldChar w:fldCharType="separate"/>
                    </w:r>
                    <w:r>
                      <w:t>5</w:t>
                    </w:r>
                    <w:r>
                      <w:fldChar w:fldCharType="end"/>
                    </w:r>
                  </w:p>
                </w:txbxContent>
              </v:textbox>
            </v:shape>
          </w:pict>
        </mc:Fallback>
      </mc:AlternateContent>
    </w:r>
  </w:p>
  <w:p w14:paraId="7109FA4A">
    <w:pPr>
      <w:pStyle w:val="2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F5B3E">
    <w:pPr>
      <w:pStyle w:val="229"/>
      <w:tabs>
        <w:tab w:val="center" w:pos="4439"/>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_x0000_s717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59A9D70"/>
                      </w:txbxContent>
                    </wps:txbx>
                    <wps:bodyPr wrap="none" lIns="0" tIns="0" rIns="0" bIns="0" upright="1">
                      <a:spAutoFit/>
                    </wps:bodyPr>
                  </wps:wsp>
                </a:graphicData>
              </a:graphic>
            </wp:anchor>
          </w:drawing>
        </mc:Choice>
        <mc:Fallback>
          <w:pict>
            <v:shape id="_x0000_s717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dfE6zccBAACoAwAADgAAAAAAAAABACAAAAAeAQAAZHJzL2Uyb0RvYy54&#10;bWxQSwUGAAAAAAYABgBZAQAAVwUAAAAA&#10;">
              <v:fill on="f" focussize="0,0"/>
              <v:stroke on="f"/>
              <v:imagedata o:title=""/>
              <o:lock v:ext="edit" aspectratio="f"/>
              <v:textbox inset="0mm,0mm,0mm,0mm" style="mso-fit-shape-to-text:t;">
                <w:txbxContent>
                  <w:p w14:paraId="059A9D70"/>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9B138">
    <w:pPr>
      <w:pStyle w:val="22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_x0000_s716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36FFC8E">
                          <w:pPr>
                            <w:pStyle w:val="229"/>
                            <w:jc w:val="center"/>
                          </w:pPr>
                          <w:r>
                            <w:fldChar w:fldCharType="begin"/>
                          </w:r>
                          <w:r>
                            <w:instrText xml:space="preserve"> PAGE  \* MERGEFORMAT </w:instrText>
                          </w:r>
                          <w:r>
                            <w:fldChar w:fldCharType="separate"/>
                          </w:r>
                          <w:r>
                            <w:t>10</w:t>
                          </w:r>
                          <w:r>
                            <w:fldChar w:fldCharType="end"/>
                          </w:r>
                        </w:p>
                      </w:txbxContent>
                    </wps:txbx>
                    <wps:bodyPr wrap="none" lIns="0" tIns="0" rIns="0" bIns="0" upright="1">
                      <a:spAutoFit/>
                    </wps:bodyPr>
                  </wps:wsp>
                </a:graphicData>
              </a:graphic>
            </wp:anchor>
          </w:drawing>
        </mc:Choice>
        <mc:Fallback>
          <w:pict>
            <v:shape id="_x0000_s7169"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HxNwy3IAQAAqAMAAA4AAAAAAAAAAQAgAAAAHgEAAGRycy9lMm9Eb2Mu&#10;eG1sUEsFBgAAAAAGAAYAWQEAAFgFAAAAAA==&#10;">
              <v:fill on="f" focussize="0,0"/>
              <v:stroke on="f"/>
              <v:imagedata o:title=""/>
              <o:lock v:ext="edit" aspectratio="f"/>
              <v:textbox inset="0mm,0mm,0mm,0mm" style="mso-fit-shape-to-text:t;">
                <w:txbxContent>
                  <w:p w14:paraId="236FFC8E">
                    <w:pPr>
                      <w:pStyle w:val="229"/>
                      <w:jc w:val="center"/>
                    </w:pPr>
                    <w:r>
                      <w:fldChar w:fldCharType="begin"/>
                    </w:r>
                    <w:r>
                      <w:instrText xml:space="preserve"> PAGE  \* MERGEFORMAT </w:instrText>
                    </w:r>
                    <w:r>
                      <w:fldChar w:fldCharType="separate"/>
                    </w:r>
                    <w:r>
                      <w:t>10</w:t>
                    </w:r>
                    <w:r>
                      <w:fldChar w:fldCharType="end"/>
                    </w:r>
                  </w:p>
                </w:txbxContent>
              </v:textbox>
            </v:shape>
          </w:pict>
        </mc:Fallback>
      </mc:AlternateContent>
    </w:r>
  </w:p>
  <w:p w14:paraId="63554430">
    <w:pPr>
      <w:pStyle w:val="2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18C91">
    <w:pPr>
      <w:pStyle w:val="22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_x0000_s717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7387799">
                          <w:pPr>
                            <w:pStyle w:val="229"/>
                            <w:rPr>
                              <w:rFonts w:hint="eastAsia"/>
                            </w:rPr>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wps:txbx>
                    <wps:bodyPr wrap="none" lIns="0" tIns="0" rIns="0" bIns="0" upright="1">
                      <a:spAutoFit/>
                    </wps:bodyPr>
                  </wps:wsp>
                </a:graphicData>
              </a:graphic>
            </wp:anchor>
          </w:drawing>
        </mc:Choice>
        <mc:Fallback>
          <w:pict>
            <v:shape id="_x0000_s717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kgXyS8cBAACoAwAADgAAAAAAAAABACAAAAAeAQAAZHJzL2Uyb0RvYy54&#10;bWxQSwUGAAAAAAYABgBZAQAAVwUAAAAA&#10;">
              <v:fill on="f" focussize="0,0"/>
              <v:stroke on="f"/>
              <v:imagedata o:title=""/>
              <o:lock v:ext="edit" aspectratio="f"/>
              <v:textbox inset="0mm,0mm,0mm,0mm" style="mso-fit-shape-to-text:t;">
                <w:txbxContent>
                  <w:p w14:paraId="57387799">
                    <w:pPr>
                      <w:pStyle w:val="229"/>
                      <w:rPr>
                        <w:rFonts w:hint="eastAsia"/>
                      </w:rPr>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E88AC">
    <w:pPr>
      <w:pStyle w:val="232"/>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1334E4">
    <w:pPr>
      <w:pStyle w:val="232"/>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ECEA3B"/>
    <w:multiLevelType w:val="multilevel"/>
    <w:tmpl w:val="2AECEA3B"/>
    <w:lvl w:ilvl="0" w:tentative="0">
      <w:start w:val="1"/>
      <w:numFmt w:val="decimal"/>
      <w:lvlText w:val="%1."/>
      <w:lvlJc w:val="left"/>
      <w:pPr>
        <w:tabs>
          <w:tab w:val="left" w:pos="312"/>
        </w:tabs>
      </w:p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1">
    <w:nsid w:val="60827F3A"/>
    <w:multiLevelType w:val="multilevel"/>
    <w:tmpl w:val="60827F3A"/>
    <w:lvl w:ilvl="0" w:tentative="0">
      <w:start w:val="1"/>
      <w:numFmt w:val="decimal"/>
      <w:lvlText w:val="%1."/>
      <w:lvlJc w:val="left"/>
      <w:pPr>
        <w:tabs>
          <w:tab w:val="left" w:pos="312"/>
        </w:tabs>
      </w:p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1F3114"/>
    <w:rsid w:val="0B622F60"/>
    <w:rsid w:val="0CCB32EC"/>
    <w:rsid w:val="198913D9"/>
    <w:rsid w:val="1D04173B"/>
    <w:rsid w:val="1F5D63B8"/>
    <w:rsid w:val="28F00B3A"/>
    <w:rsid w:val="35F27B20"/>
    <w:rsid w:val="418D6BDC"/>
    <w:rsid w:val="4208653B"/>
    <w:rsid w:val="42C35F6C"/>
    <w:rsid w:val="50802A5C"/>
    <w:rsid w:val="5AFC024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64"/>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4">
    <w:name w:val="heading 1"/>
    <w:basedOn w:val="1"/>
    <w:next w:val="1"/>
    <w:link w:val="171"/>
    <w:qFormat/>
    <w:uiPriority w:val="9"/>
    <w:pPr>
      <w:keepNext/>
      <w:keepLines/>
      <w:spacing w:before="360" w:after="80"/>
      <w:outlineLvl w:val="0"/>
    </w:pPr>
    <w:rPr>
      <w:rFonts w:ascii="Arial" w:hAnsi="Arial" w:eastAsia="Arial" w:cs="Arial"/>
      <w:color w:val="376092" w:themeColor="accent1" w:themeShade="BF"/>
      <w:sz w:val="40"/>
      <w:szCs w:val="40"/>
    </w:rPr>
  </w:style>
  <w:style w:type="paragraph" w:styleId="5">
    <w:name w:val="heading 2"/>
    <w:basedOn w:val="1"/>
    <w:next w:val="1"/>
    <w:link w:val="172"/>
    <w:unhideWhenUsed/>
    <w:qFormat/>
    <w:uiPriority w:val="9"/>
    <w:pPr>
      <w:keepNext/>
      <w:keepLines/>
      <w:spacing w:before="160" w:after="80"/>
      <w:outlineLvl w:val="1"/>
    </w:pPr>
    <w:rPr>
      <w:rFonts w:ascii="Arial" w:hAnsi="Arial" w:eastAsia="Arial" w:cs="Arial"/>
      <w:color w:val="376092" w:themeColor="accent1" w:themeShade="BF"/>
      <w:sz w:val="32"/>
      <w:szCs w:val="32"/>
    </w:rPr>
  </w:style>
  <w:style w:type="paragraph" w:styleId="6">
    <w:name w:val="heading 3"/>
    <w:basedOn w:val="1"/>
    <w:next w:val="1"/>
    <w:link w:val="173"/>
    <w:unhideWhenUsed/>
    <w:qFormat/>
    <w:uiPriority w:val="9"/>
    <w:pPr>
      <w:keepNext/>
      <w:keepLines/>
      <w:spacing w:before="160" w:after="80"/>
      <w:outlineLvl w:val="2"/>
    </w:pPr>
    <w:rPr>
      <w:rFonts w:ascii="Arial" w:hAnsi="Arial" w:eastAsia="Arial" w:cs="Arial"/>
      <w:color w:val="376092" w:themeColor="accent1" w:themeShade="BF"/>
      <w:sz w:val="28"/>
      <w:szCs w:val="28"/>
    </w:rPr>
  </w:style>
  <w:style w:type="paragraph" w:styleId="7">
    <w:name w:val="heading 4"/>
    <w:basedOn w:val="1"/>
    <w:next w:val="1"/>
    <w:link w:val="174"/>
    <w:unhideWhenUsed/>
    <w:qFormat/>
    <w:uiPriority w:val="9"/>
    <w:pPr>
      <w:keepNext/>
      <w:keepLines/>
      <w:spacing w:before="80" w:after="40"/>
      <w:outlineLvl w:val="3"/>
    </w:pPr>
    <w:rPr>
      <w:rFonts w:ascii="Arial" w:hAnsi="Arial" w:eastAsia="Arial" w:cs="Arial"/>
      <w:i/>
      <w:iCs/>
      <w:color w:val="376092" w:themeColor="accent1" w:themeShade="BF"/>
    </w:rPr>
  </w:style>
  <w:style w:type="paragraph" w:styleId="8">
    <w:name w:val="heading 5"/>
    <w:basedOn w:val="1"/>
    <w:next w:val="1"/>
    <w:link w:val="175"/>
    <w:unhideWhenUsed/>
    <w:qFormat/>
    <w:uiPriority w:val="9"/>
    <w:pPr>
      <w:keepNext/>
      <w:keepLines/>
      <w:spacing w:before="80" w:after="40"/>
      <w:outlineLvl w:val="4"/>
    </w:pPr>
    <w:rPr>
      <w:rFonts w:ascii="Arial" w:hAnsi="Arial" w:eastAsia="Arial" w:cs="Arial"/>
      <w:color w:val="376092" w:themeColor="accent1" w:themeShade="BF"/>
    </w:rPr>
  </w:style>
  <w:style w:type="paragraph" w:styleId="9">
    <w:name w:val="heading 6"/>
    <w:basedOn w:val="1"/>
    <w:next w:val="1"/>
    <w:link w:val="176"/>
    <w:unhideWhenUsed/>
    <w:qFormat/>
    <w:uiPriority w:val="9"/>
    <w:pPr>
      <w:keepNext/>
      <w:keepLines/>
      <w:spacing w:before="40" w:after="0"/>
      <w:outlineLvl w:val="5"/>
    </w:pPr>
    <w:rPr>
      <w:rFonts w:ascii="Arial" w:hAnsi="Arial" w:eastAsia="Arial" w:cs="Arial"/>
      <w:i/>
      <w:iCs/>
      <w:color w:val="595959" w:themeColor="text1" w:themeTint="A6"/>
      <w14:textFill>
        <w14:solidFill>
          <w14:schemeClr w14:val="tx1">
            <w14:lumMod w14:val="65000"/>
            <w14:lumOff w14:val="35000"/>
          </w14:schemeClr>
        </w14:solidFill>
      </w14:textFill>
    </w:rPr>
  </w:style>
  <w:style w:type="paragraph" w:styleId="10">
    <w:name w:val="heading 7"/>
    <w:basedOn w:val="1"/>
    <w:next w:val="1"/>
    <w:link w:val="177"/>
    <w:unhideWhenUsed/>
    <w:qFormat/>
    <w:uiPriority w:val="9"/>
    <w:pPr>
      <w:keepNext/>
      <w:keepLines/>
      <w:spacing w:before="40" w:after="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styleId="11">
    <w:name w:val="heading 8"/>
    <w:basedOn w:val="1"/>
    <w:next w:val="1"/>
    <w:link w:val="178"/>
    <w:unhideWhenUsed/>
    <w:qFormat/>
    <w:uiPriority w:val="9"/>
    <w:pPr>
      <w:keepNext/>
      <w:keepLines/>
      <w:spacing w:after="0"/>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styleId="12">
    <w:name w:val="heading 9"/>
    <w:basedOn w:val="1"/>
    <w:next w:val="1"/>
    <w:link w:val="179"/>
    <w:unhideWhenUsed/>
    <w:qFormat/>
    <w:uiPriority w:val="9"/>
    <w:pPr>
      <w:keepNext/>
      <w:keepLines/>
      <w:spacing w:after="0"/>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2">
    <w:name w:val="Body Text First Indent"/>
    <w:basedOn w:val="3"/>
    <w:next w:val="1"/>
    <w:qFormat/>
    <w:uiPriority w:val="0"/>
    <w:pPr>
      <w:ind w:firstLine="420" w:firstLineChars="100"/>
    </w:pPr>
    <w:rPr>
      <w:rFonts w:ascii="宋体" w:hAnsi="Courier New"/>
      <w:kern w:val="0"/>
      <w:sz w:val="20"/>
      <w:szCs w:val="21"/>
    </w:rPr>
  </w:style>
  <w:style w:type="paragraph" w:styleId="3">
    <w:name w:val="Body Text"/>
    <w:basedOn w:val="1"/>
    <w:unhideWhenUsed/>
    <w:qFormat/>
    <w:uiPriority w:val="0"/>
    <w:pPr>
      <w:spacing w:after="120"/>
    </w:pPr>
  </w:style>
  <w:style w:type="paragraph" w:styleId="13">
    <w:name w:val="toc 7"/>
    <w:basedOn w:val="1"/>
    <w:next w:val="1"/>
    <w:unhideWhenUsed/>
    <w:qFormat/>
    <w:uiPriority w:val="39"/>
    <w:pPr>
      <w:spacing w:after="100"/>
      <w:ind w:left="1320"/>
    </w:pPr>
  </w:style>
  <w:style w:type="paragraph" w:styleId="14">
    <w:name w:val="caption"/>
    <w:basedOn w:val="1"/>
    <w:next w:val="1"/>
    <w:unhideWhenUsed/>
    <w:qFormat/>
    <w:uiPriority w:val="35"/>
    <w:pPr>
      <w:spacing w:after="200" w:line="240" w:lineRule="auto"/>
    </w:pPr>
    <w:rPr>
      <w:i/>
      <w:iCs/>
      <w:color w:val="1F497D" w:themeColor="text2"/>
      <w:sz w:val="18"/>
      <w:szCs w:val="18"/>
      <w14:textFill>
        <w14:solidFill>
          <w14:schemeClr w14:val="tx2"/>
        </w14:solidFill>
      </w14:textFill>
    </w:rPr>
  </w:style>
  <w:style w:type="paragraph" w:styleId="15">
    <w:name w:val="annotation text"/>
    <w:basedOn w:val="1"/>
    <w:semiHidden/>
    <w:unhideWhenUsed/>
    <w:qFormat/>
    <w:uiPriority w:val="99"/>
    <w:pPr>
      <w:jc w:val="left"/>
    </w:pPr>
  </w:style>
  <w:style w:type="paragraph" w:styleId="16">
    <w:name w:val="Body Text Indent"/>
    <w:basedOn w:val="1"/>
    <w:next w:val="17"/>
    <w:qFormat/>
    <w:uiPriority w:val="0"/>
    <w:pPr>
      <w:ind w:firstLine="830"/>
    </w:pPr>
    <w:rPr>
      <w:rFonts w:ascii="仿宋_GB2312" w:eastAsia="仿宋_GB2312"/>
      <w:sz w:val="32"/>
      <w:szCs w:val="20"/>
    </w:rPr>
  </w:style>
  <w:style w:type="paragraph" w:styleId="17">
    <w:name w:val="envelope return"/>
    <w:basedOn w:val="1"/>
    <w:qFormat/>
    <w:uiPriority w:val="0"/>
    <w:pPr>
      <w:spacing w:line="360" w:lineRule="atLeast"/>
      <w:ind w:firstLine="640"/>
    </w:pPr>
    <w:rPr>
      <w:rFonts w:ascii="Arial" w:hAnsi="Arial"/>
    </w:rPr>
  </w:style>
  <w:style w:type="paragraph" w:styleId="18">
    <w:name w:val="toc 5"/>
    <w:basedOn w:val="1"/>
    <w:next w:val="1"/>
    <w:unhideWhenUsed/>
    <w:qFormat/>
    <w:uiPriority w:val="39"/>
    <w:pPr>
      <w:spacing w:after="100"/>
      <w:ind w:left="880"/>
    </w:pPr>
  </w:style>
  <w:style w:type="paragraph" w:styleId="19">
    <w:name w:val="toc 3"/>
    <w:basedOn w:val="1"/>
    <w:next w:val="1"/>
    <w:unhideWhenUsed/>
    <w:qFormat/>
    <w:uiPriority w:val="39"/>
    <w:pPr>
      <w:spacing w:after="100"/>
      <w:ind w:left="440"/>
    </w:pPr>
  </w:style>
  <w:style w:type="paragraph" w:styleId="20">
    <w:name w:val="Plain Text"/>
    <w:basedOn w:val="1"/>
    <w:next w:val="4"/>
    <w:qFormat/>
    <w:uiPriority w:val="0"/>
    <w:rPr>
      <w:rFonts w:ascii="宋体" w:hAnsi="Courier New" w:cs="Century"/>
      <w:szCs w:val="21"/>
    </w:rPr>
  </w:style>
  <w:style w:type="paragraph" w:styleId="21">
    <w:name w:val="toc 8"/>
    <w:basedOn w:val="1"/>
    <w:next w:val="1"/>
    <w:unhideWhenUsed/>
    <w:qFormat/>
    <w:uiPriority w:val="39"/>
    <w:pPr>
      <w:spacing w:after="100"/>
      <w:ind w:left="1540"/>
    </w:pPr>
  </w:style>
  <w:style w:type="paragraph" w:styleId="22">
    <w:name w:val="endnote text"/>
    <w:basedOn w:val="1"/>
    <w:link w:val="196"/>
    <w:semiHidden/>
    <w:unhideWhenUsed/>
    <w:qFormat/>
    <w:uiPriority w:val="99"/>
    <w:pPr>
      <w:spacing w:after="0" w:line="240" w:lineRule="auto"/>
    </w:pPr>
    <w:rPr>
      <w:sz w:val="20"/>
      <w:szCs w:val="20"/>
    </w:rPr>
  </w:style>
  <w:style w:type="paragraph" w:styleId="23">
    <w:name w:val="footer"/>
    <w:basedOn w:val="1"/>
    <w:link w:val="194"/>
    <w:unhideWhenUsed/>
    <w:qFormat/>
    <w:uiPriority w:val="99"/>
    <w:pPr>
      <w:tabs>
        <w:tab w:val="center" w:pos="4844"/>
        <w:tab w:val="right" w:pos="9689"/>
      </w:tabs>
      <w:spacing w:after="0" w:line="240" w:lineRule="auto"/>
    </w:pPr>
  </w:style>
  <w:style w:type="paragraph" w:styleId="24">
    <w:name w:val="header"/>
    <w:basedOn w:val="1"/>
    <w:link w:val="193"/>
    <w:unhideWhenUsed/>
    <w:qFormat/>
    <w:uiPriority w:val="99"/>
    <w:pPr>
      <w:tabs>
        <w:tab w:val="center" w:pos="4844"/>
        <w:tab w:val="right" w:pos="9689"/>
      </w:tabs>
      <w:spacing w:after="0" w:line="240" w:lineRule="auto"/>
    </w:pPr>
  </w:style>
  <w:style w:type="paragraph" w:styleId="25">
    <w:name w:val="toc 1"/>
    <w:basedOn w:val="1"/>
    <w:next w:val="1"/>
    <w:unhideWhenUsed/>
    <w:qFormat/>
    <w:uiPriority w:val="39"/>
    <w:pPr>
      <w:spacing w:after="100"/>
    </w:pPr>
  </w:style>
  <w:style w:type="paragraph" w:styleId="26">
    <w:name w:val="toc 4"/>
    <w:basedOn w:val="1"/>
    <w:next w:val="1"/>
    <w:unhideWhenUsed/>
    <w:qFormat/>
    <w:uiPriority w:val="39"/>
    <w:pPr>
      <w:spacing w:after="100"/>
      <w:ind w:left="660"/>
    </w:pPr>
  </w:style>
  <w:style w:type="paragraph" w:styleId="27">
    <w:name w:val="Subtitle"/>
    <w:basedOn w:val="1"/>
    <w:next w:val="1"/>
    <w:link w:val="181"/>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28">
    <w:name w:val="footnote text"/>
    <w:basedOn w:val="1"/>
    <w:link w:val="195"/>
    <w:semiHidden/>
    <w:unhideWhenUsed/>
    <w:qFormat/>
    <w:uiPriority w:val="99"/>
    <w:pPr>
      <w:spacing w:after="0" w:line="240" w:lineRule="auto"/>
    </w:pPr>
    <w:rPr>
      <w:sz w:val="20"/>
      <w:szCs w:val="20"/>
    </w:rPr>
  </w:style>
  <w:style w:type="paragraph" w:styleId="29">
    <w:name w:val="toc 6"/>
    <w:basedOn w:val="1"/>
    <w:next w:val="1"/>
    <w:unhideWhenUsed/>
    <w:qFormat/>
    <w:uiPriority w:val="39"/>
    <w:pPr>
      <w:spacing w:after="100"/>
      <w:ind w:left="110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100"/>
      <w:ind w:left="220"/>
    </w:pPr>
  </w:style>
  <w:style w:type="paragraph" w:styleId="32">
    <w:name w:val="toc 9"/>
    <w:basedOn w:val="1"/>
    <w:next w:val="1"/>
    <w:unhideWhenUsed/>
    <w:qFormat/>
    <w:uiPriority w:val="39"/>
    <w:pPr>
      <w:spacing w:after="100"/>
      <w:ind w:left="1760"/>
    </w:pPr>
  </w:style>
  <w:style w:type="paragraph" w:styleId="33">
    <w:name w:val="Title"/>
    <w:basedOn w:val="1"/>
    <w:next w:val="1"/>
    <w:link w:val="180"/>
    <w:qFormat/>
    <w:uiPriority w:val="10"/>
    <w:pPr>
      <w:spacing w:after="80" w:line="240" w:lineRule="auto"/>
      <w:contextualSpacing/>
    </w:pPr>
    <w:rPr>
      <w:rFonts w:ascii="Arial" w:hAnsi="Arial" w:eastAsia="Arial" w:cs="Arial"/>
      <w:spacing w:val="-10"/>
      <w:sz w:val="56"/>
      <w:szCs w:val="56"/>
    </w:rPr>
  </w:style>
  <w:style w:type="paragraph" w:styleId="34">
    <w:name w:val="Body Text First Indent 2"/>
    <w:basedOn w:val="16"/>
    <w:qFormat/>
    <w:uiPriority w:val="99"/>
    <w:pPr>
      <w:spacing w:line="360" w:lineRule="atLeast"/>
      <w:ind w:left="420" w:firstLine="420"/>
    </w:pPr>
    <w:rPr>
      <w:rFonts w:ascii="Times New Roman"/>
      <w:szCs w:val="24"/>
    </w:rPr>
  </w:style>
  <w:style w:type="table" w:styleId="36">
    <w:name w:val="Table Grid"/>
    <w:basedOn w:val="35"/>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38">
    <w:name w:val="Strong"/>
    <w:basedOn w:val="37"/>
    <w:qFormat/>
    <w:uiPriority w:val="22"/>
    <w:rPr>
      <w:b/>
      <w:bCs/>
    </w:rPr>
  </w:style>
  <w:style w:type="character" w:styleId="39">
    <w:name w:val="endnote reference"/>
    <w:basedOn w:val="37"/>
    <w:semiHidden/>
    <w:unhideWhenUsed/>
    <w:qFormat/>
    <w:uiPriority w:val="99"/>
    <w:rPr>
      <w:vertAlign w:val="superscript"/>
    </w:rPr>
  </w:style>
  <w:style w:type="character" w:styleId="40">
    <w:name w:val="FollowedHyperlink"/>
    <w:basedOn w:val="37"/>
    <w:semiHidden/>
    <w:unhideWhenUsed/>
    <w:qFormat/>
    <w:uiPriority w:val="99"/>
    <w:rPr>
      <w:color w:val="800080" w:themeColor="followedHyperlink"/>
      <w:u w:val="single"/>
      <w14:textFill>
        <w14:solidFill>
          <w14:schemeClr w14:val="folHlink"/>
        </w14:solidFill>
      </w14:textFill>
    </w:rPr>
  </w:style>
  <w:style w:type="character" w:styleId="41">
    <w:name w:val="Emphasis"/>
    <w:basedOn w:val="37"/>
    <w:qFormat/>
    <w:uiPriority w:val="20"/>
    <w:rPr>
      <w:i/>
      <w:iCs/>
    </w:rPr>
  </w:style>
  <w:style w:type="character" w:styleId="42">
    <w:name w:val="Hyperlink"/>
    <w:basedOn w:val="37"/>
    <w:unhideWhenUsed/>
    <w:qFormat/>
    <w:uiPriority w:val="99"/>
    <w:rPr>
      <w:color w:val="0000FF" w:themeColor="hyperlink"/>
      <w:u w:val="single"/>
      <w14:textFill>
        <w14:solidFill>
          <w14:schemeClr w14:val="hlink"/>
        </w14:solidFill>
      </w14:textFill>
    </w:rPr>
  </w:style>
  <w:style w:type="character" w:styleId="43">
    <w:name w:val="footnote reference"/>
    <w:basedOn w:val="37"/>
    <w:semiHidden/>
    <w:unhideWhenUsed/>
    <w:qFormat/>
    <w:uiPriority w:val="99"/>
    <w:rPr>
      <w:vertAlign w:val="superscript"/>
    </w:rPr>
  </w:style>
  <w:style w:type="paragraph" w:customStyle="1" w:styleId="44">
    <w:name w:val="Default"/>
    <w:basedOn w:val="45"/>
    <w:next w:val="1"/>
    <w:qFormat/>
    <w:uiPriority w:val="0"/>
    <w:pPr>
      <w:widowControl w:val="0"/>
    </w:pPr>
    <w:rPr>
      <w:rFonts w:hint="default" w:ascii="黑体" w:hAnsi="Times New Roman" w:eastAsia="黑体" w:cs="Times New Roman"/>
      <w:lang w:val="en-US" w:eastAsia="zh-CN" w:bidi="ar-SA"/>
    </w:rPr>
  </w:style>
  <w:style w:type="paragraph" w:customStyle="1" w:styleId="45">
    <w:name w:val="纯文本1"/>
    <w:basedOn w:val="1"/>
    <w:link w:val="224"/>
    <w:qFormat/>
    <w:uiPriority w:val="0"/>
    <w:rPr>
      <w:rFonts w:ascii="宋体" w:hAnsi="Courier New"/>
      <w:sz w:val="20"/>
      <w:szCs w:val="21"/>
    </w:rPr>
  </w:style>
  <w:style w:type="table" w:customStyle="1" w:styleId="46">
    <w:name w:val="Table Grid Light"/>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47">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8">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49">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0">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1">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2">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53">
    <w:name w:val="Grid Table 1 Light - Accent 1"/>
    <w:basedOn w:val="3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54">
    <w:name w:val="Grid Table 1 Light - Accent 2"/>
    <w:basedOn w:val="3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55">
    <w:name w:val="Grid Table 1 Light - Accent 3"/>
    <w:basedOn w:val="3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56">
    <w:name w:val="Grid Table 1 Light - Accent 4"/>
    <w:basedOn w:val="3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57">
    <w:name w:val="Grid Table 1 Light - Accent 5"/>
    <w:basedOn w:val="3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58">
    <w:name w:val="Grid Table 1 Light - Accent 6"/>
    <w:basedOn w:val="3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table" w:customStyle="1" w:styleId="59">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0">
    <w:name w:val="Grid Table 2 - Accent 1"/>
    <w:basedOn w:val="35"/>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61">
    <w:name w:val="Grid Table 2 - Accent 2"/>
    <w:basedOn w:val="3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62">
    <w:name w:val="Grid Table 2 - Accent 3"/>
    <w:basedOn w:val="3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63">
    <w:name w:val="Grid Table 2 - Accent 4"/>
    <w:basedOn w:val="3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64">
    <w:name w:val="Grid Table 2 - Accent 5"/>
    <w:basedOn w:val="3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65">
    <w:name w:val="Grid Table 2 - Accent 6"/>
    <w:basedOn w:val="3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66">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7">
    <w:name w:val="Grid Table 3 - Accent 1"/>
    <w:basedOn w:val="35"/>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68">
    <w:name w:val="Grid Table 3 - Accent 2"/>
    <w:basedOn w:val="3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69">
    <w:name w:val="Grid Table 3 - Accent 3"/>
    <w:basedOn w:val="3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70">
    <w:name w:val="Grid Table 3 - Accent 4"/>
    <w:basedOn w:val="3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71">
    <w:name w:val="Grid Table 3 - Accent 5"/>
    <w:basedOn w:val="3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72">
    <w:name w:val="Grid Table 3 - Accent 6"/>
    <w:basedOn w:val="3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73">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4">
    <w:name w:val="Grid Table 4 - Accent 1"/>
    <w:basedOn w:val="35"/>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2Vert"/>
    <w:tblStylePr w:type="band1Horz">
      <w:rPr>
        <w:rFonts w:ascii="Arial" w:hAnsi="Arial"/>
        <w:color w:val="404040"/>
        <w:sz w:val="22"/>
      </w:rPr>
      <w:tcPr>
        <w:shd w:val="clear" w:color="DCE6F2" w:themeColor="accent1" w:themeTint="32" w:fill="DCE6F2" w:themeFill="accent1" w:themeFillTint="32"/>
      </w:tcPr>
    </w:tblStylePr>
    <w:tblStylePr w:type="band2Horz"/>
    <w:tblStylePr w:type="neCell"/>
    <w:tblStylePr w:type="nwCell"/>
    <w:tblStylePr w:type="seCell"/>
    <w:tblStylePr w:type="swCell"/>
  </w:style>
  <w:style w:type="table" w:customStyle="1" w:styleId="75">
    <w:name w:val="Grid Table 4 - Accent 2"/>
    <w:basedOn w:val="35"/>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76">
    <w:name w:val="Grid Table 4 - Accent 3"/>
    <w:basedOn w:val="35"/>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77">
    <w:name w:val="Grid Table 4 - Accent 4"/>
    <w:basedOn w:val="35"/>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78">
    <w:name w:val="Grid Table 4 - Accent 5"/>
    <w:basedOn w:val="3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79">
    <w:name w:val="Grid Table 4 - Accent 6"/>
    <w:basedOn w:val="35"/>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80">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81">
    <w:name w:val="Grid Table 5 Dark- Accent 1"/>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2Vert"/>
    <w:tblStylePr w:type="band1Horz">
      <w:tcPr>
        <w:shd w:val="clear" w:color="AEC5E0" w:themeColor="accent1" w:themeTint="75" w:fill="AEC5E0" w:themeFill="accent1" w:themeFillTint="75"/>
      </w:tcPr>
    </w:tblStylePr>
    <w:tblStylePr w:type="band2Horz"/>
    <w:tblStylePr w:type="neCell"/>
    <w:tblStylePr w:type="nwCell"/>
    <w:tblStylePr w:type="seCell"/>
    <w:tblStylePr w:type="swCell"/>
  </w:style>
  <w:style w:type="table" w:customStyle="1" w:styleId="82">
    <w:name w:val="Grid Table 5 Dark - Accent 2"/>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2Vert"/>
    <w:tblStylePr w:type="band1Horz">
      <w:tcPr>
        <w:shd w:val="clear" w:color="E2AEAD" w:themeColor="accent2" w:themeTint="75" w:fill="E2AEAD" w:themeFill="accent2" w:themeFillTint="75"/>
      </w:tcPr>
    </w:tblStylePr>
    <w:tblStylePr w:type="band2Horz"/>
    <w:tblStylePr w:type="neCell"/>
    <w:tblStylePr w:type="nwCell"/>
    <w:tblStylePr w:type="seCell"/>
    <w:tblStylePr w:type="swCell"/>
  </w:style>
  <w:style w:type="table" w:customStyle="1" w:styleId="83">
    <w:name w:val="Grid Table 5 Dark - Accent 3"/>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2Vert"/>
    <w:tblStylePr w:type="band1Horz">
      <w:tcPr>
        <w:shd w:val="clear" w:color="D1DFB2" w:themeColor="accent3" w:themeTint="75" w:fill="D1DFB2" w:themeFill="accent3" w:themeFillTint="75"/>
      </w:tcPr>
    </w:tblStylePr>
    <w:tblStylePr w:type="band2Horz"/>
    <w:tblStylePr w:type="neCell"/>
    <w:tblStylePr w:type="nwCell"/>
    <w:tblStylePr w:type="seCell"/>
    <w:tblStylePr w:type="swCell"/>
  </w:style>
  <w:style w:type="table" w:customStyle="1" w:styleId="84">
    <w:name w:val="Grid Table 5 Dark- Accent 4"/>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2Vert"/>
    <w:tblStylePr w:type="band1Horz">
      <w:tcPr>
        <w:shd w:val="clear" w:color="C4B7D4" w:themeColor="accent4" w:themeTint="75" w:fill="C4B7D4" w:themeFill="accent4" w:themeFillTint="75"/>
      </w:tcPr>
    </w:tblStylePr>
    <w:tblStylePr w:type="band2Horz"/>
    <w:tblStylePr w:type="neCell"/>
    <w:tblStylePr w:type="nwCell"/>
    <w:tblStylePr w:type="seCell"/>
    <w:tblStylePr w:type="swCell"/>
  </w:style>
  <w:style w:type="table" w:customStyle="1" w:styleId="85">
    <w:name w:val="Grid Table 5 Dark - Accent 5"/>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2Vert"/>
    <w:tblStylePr w:type="band1Horz">
      <w:tcPr>
        <w:shd w:val="clear" w:color="ACD8E4" w:themeColor="accent5" w:themeTint="75" w:fill="ACD8E4" w:themeFill="accent5" w:themeFillTint="75"/>
      </w:tcPr>
    </w:tblStylePr>
    <w:tblStylePr w:type="band2Horz"/>
    <w:tblStylePr w:type="neCell"/>
    <w:tblStylePr w:type="nwCell"/>
    <w:tblStylePr w:type="seCell"/>
    <w:tblStylePr w:type="swCell"/>
  </w:style>
  <w:style w:type="table" w:customStyle="1" w:styleId="86">
    <w:name w:val="Grid Table 5 Dark - Accent 6"/>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2Vert"/>
    <w:tblStylePr w:type="band1Horz">
      <w:tcPr>
        <w:shd w:val="clear" w:color="FBCEAA" w:themeColor="accent6" w:themeTint="75" w:fill="FBCEAA" w:themeFill="accent6" w:themeFillTint="75"/>
      </w:tcPr>
    </w:tblStylePr>
    <w:tblStylePr w:type="band2Horz"/>
    <w:tblStylePr w:type="neCell"/>
    <w:tblStylePr w:type="nwCell"/>
    <w:tblStylePr w:type="seCell"/>
    <w:tblStylePr w:type="swCell"/>
  </w:style>
  <w:style w:type="table" w:customStyle="1" w:styleId="87">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88">
    <w:name w:val="Grid Table 6 Colorful - Accent 1"/>
    <w:basedOn w:val="35"/>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89">
    <w:name w:val="Grid Table 6 Colorful - Accent 2"/>
    <w:basedOn w:val="3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0">
    <w:name w:val="Grid Table 6 Colorful - Accent 3"/>
    <w:basedOn w:val="35"/>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1">
    <w:name w:val="Grid Table 6 Colorful - Accent 4"/>
    <w:basedOn w:val="3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2">
    <w:name w:val="Grid Table 6 Colorful - Accent 5"/>
    <w:basedOn w:val="3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93">
    <w:name w:val="Grid Table 6 Colorful - Accent 6"/>
    <w:basedOn w:val="35"/>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2Vert"/>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94">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95">
    <w:name w:val="Grid Table 7 Colorful - Accent 1"/>
    <w:basedOn w:val="35"/>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96">
    <w:name w:val="Grid Table 7 Colorful - Accent 2"/>
    <w:basedOn w:val="35"/>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7">
    <w:name w:val="Grid Table 7 Colorful - Accent 3"/>
    <w:basedOn w:val="35"/>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8">
    <w:name w:val="Grid Table 7 Colorful - Accent 4"/>
    <w:basedOn w:val="35"/>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9">
    <w:name w:val="Grid Table 7 Colorful - Accent 5"/>
    <w:basedOn w:val="3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00">
    <w:name w:val="Grid Table 7 Colorful - Accent 6"/>
    <w:basedOn w:val="35"/>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2Vert"/>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neCell"/>
    <w:tblStylePr w:type="nwCell"/>
    <w:tblStylePr w:type="seCell"/>
    <w:tblStylePr w:type="swCell"/>
  </w:style>
  <w:style w:type="table" w:customStyle="1" w:styleId="101">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2">
    <w:name w:val="List Table 1 Light - Accent 1"/>
    <w:basedOn w:val="35"/>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2Vert"/>
    <w:tblStylePr w:type="band1Horz">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03">
    <w:name w:val="List Table 1 Light - Accent 2"/>
    <w:basedOn w:val="35"/>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2Vert"/>
    <w:tblStylePr w:type="band1Horz">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04">
    <w:name w:val="List Table 1 Light - Accent 3"/>
    <w:basedOn w:val="35"/>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2Vert"/>
    <w:tblStylePr w:type="band1Horz">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05">
    <w:name w:val="List Table 1 Light - Accent 4"/>
    <w:basedOn w:val="35"/>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2Vert"/>
    <w:tblStylePr w:type="band1Horz">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06">
    <w:name w:val="List Table 1 Light - Accent 5"/>
    <w:basedOn w:val="3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2Vert"/>
    <w:tblStylePr w:type="band1Horz">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07">
    <w:name w:val="List Table 1 Light - Accent 6"/>
    <w:basedOn w:val="35"/>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2Vert"/>
    <w:tblStylePr w:type="band1Horz">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08">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9">
    <w:name w:val="List Table 2 - Accent 1"/>
    <w:basedOn w:val="35"/>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10">
    <w:name w:val="List Table 2 - Accent 2"/>
    <w:basedOn w:val="35"/>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11">
    <w:name w:val="List Table 2 - Accent 3"/>
    <w:basedOn w:val="35"/>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12">
    <w:name w:val="List Table 2 - Accent 4"/>
    <w:basedOn w:val="35"/>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13">
    <w:name w:val="List Table 2 - Accent 5"/>
    <w:basedOn w:val="3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14">
    <w:name w:val="List Table 2 - Accent 6"/>
    <w:basedOn w:val="35"/>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15">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16">
    <w:name w:val="List Table 3 - Accent 1"/>
    <w:basedOn w:val="35"/>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2Vert"/>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2Horz"/>
    <w:tblStylePr w:type="neCell"/>
    <w:tblStylePr w:type="nwCell"/>
    <w:tblStylePr w:type="seCell"/>
    <w:tblStylePr w:type="swCell"/>
  </w:style>
  <w:style w:type="table" w:customStyle="1" w:styleId="117">
    <w:name w:val="List Table 3 - Accent 2"/>
    <w:basedOn w:val="3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tblStylePr w:type="neCell"/>
    <w:tblStylePr w:type="nwCell"/>
    <w:tblStylePr w:type="seCell"/>
    <w:tblStylePr w:type="swCell"/>
  </w:style>
  <w:style w:type="table" w:customStyle="1" w:styleId="118">
    <w:name w:val="List Table 3 - Accent 3"/>
    <w:basedOn w:val="35"/>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tblStylePr w:type="neCell"/>
    <w:tblStylePr w:type="nwCell"/>
    <w:tblStylePr w:type="seCell"/>
    <w:tblStylePr w:type="swCell"/>
  </w:style>
  <w:style w:type="table" w:customStyle="1" w:styleId="119">
    <w:name w:val="List Table 3 - Accent 4"/>
    <w:basedOn w:val="3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tblStylePr w:type="neCell"/>
    <w:tblStylePr w:type="nwCell"/>
    <w:tblStylePr w:type="seCell"/>
    <w:tblStylePr w:type="swCell"/>
  </w:style>
  <w:style w:type="table" w:customStyle="1" w:styleId="120">
    <w:name w:val="List Table 3 - Accent 5"/>
    <w:basedOn w:val="3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tblStylePr w:type="neCell"/>
    <w:tblStylePr w:type="nwCell"/>
    <w:tblStylePr w:type="seCell"/>
    <w:tblStylePr w:type="swCell"/>
  </w:style>
  <w:style w:type="table" w:customStyle="1" w:styleId="121">
    <w:name w:val="List Table 3 - Accent 6"/>
    <w:basedOn w:val="35"/>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tblStylePr w:type="neCell"/>
    <w:tblStylePr w:type="nwCell"/>
    <w:tblStylePr w:type="seCell"/>
    <w:tblStylePr w:type="swCell"/>
  </w:style>
  <w:style w:type="table" w:customStyle="1" w:styleId="122">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23">
    <w:name w:val="List Table 4 - Accent 1"/>
    <w:basedOn w:val="35"/>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24">
    <w:name w:val="List Table 4 - Accent 2"/>
    <w:basedOn w:val="35"/>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25">
    <w:name w:val="List Table 4 - Accent 3"/>
    <w:basedOn w:val="35"/>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26">
    <w:name w:val="List Table 4 - Accent 4"/>
    <w:basedOn w:val="35"/>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27">
    <w:name w:val="List Table 4 - Accent 5"/>
    <w:basedOn w:val="3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28">
    <w:name w:val="List Table 4 - Accent 6"/>
    <w:basedOn w:val="35"/>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29">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30">
    <w:name w:val="List Table 5 Dark - Accent 1"/>
    <w:basedOn w:val="35"/>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tblStylePr w:type="neCell"/>
    <w:tblStylePr w:type="nwCell"/>
    <w:tblStylePr w:type="seCell"/>
    <w:tblStylePr w:type="swCell"/>
  </w:style>
  <w:style w:type="table" w:customStyle="1" w:styleId="131">
    <w:name w:val="List Table 5 Dark - Accent 2"/>
    <w:basedOn w:val="35"/>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neCell"/>
    <w:tblStylePr w:type="nwCell"/>
    <w:tblStylePr w:type="seCell"/>
    <w:tblStylePr w:type="swCell"/>
  </w:style>
  <w:style w:type="table" w:customStyle="1" w:styleId="132">
    <w:name w:val="List Table 5 Dark - Accent 3"/>
    <w:basedOn w:val="35"/>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neCell"/>
    <w:tblStylePr w:type="nwCell"/>
    <w:tblStylePr w:type="seCell"/>
    <w:tblStylePr w:type="swCell"/>
  </w:style>
  <w:style w:type="table" w:customStyle="1" w:styleId="133">
    <w:name w:val="List Table 5 Dark - Accent 4"/>
    <w:basedOn w:val="35"/>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neCell"/>
    <w:tblStylePr w:type="nwCell"/>
    <w:tblStylePr w:type="seCell"/>
    <w:tblStylePr w:type="swCell"/>
  </w:style>
  <w:style w:type="table" w:customStyle="1" w:styleId="134">
    <w:name w:val="List Table 5 Dark - Accent 5"/>
    <w:basedOn w:val="3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neCell"/>
    <w:tblStylePr w:type="nwCell"/>
    <w:tblStylePr w:type="seCell"/>
    <w:tblStylePr w:type="swCell"/>
  </w:style>
  <w:style w:type="table" w:customStyle="1" w:styleId="135">
    <w:name w:val="List Table 5 Dark - Accent 6"/>
    <w:basedOn w:val="35"/>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neCell"/>
    <w:tblStylePr w:type="nwCell"/>
    <w:tblStylePr w:type="seCell"/>
    <w:tblStylePr w:type="swCell"/>
  </w:style>
  <w:style w:type="table" w:customStyle="1" w:styleId="136">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37">
    <w:name w:val="List Table 6 Colorful - Accent 1"/>
    <w:basedOn w:val="35"/>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38">
    <w:name w:val="List Table 6 Colorful - Accent 2"/>
    <w:basedOn w:val="35"/>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39">
    <w:name w:val="List Table 6 Colorful - Accent 3"/>
    <w:basedOn w:val="35"/>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0">
    <w:name w:val="List Table 6 Colorful - Accent 4"/>
    <w:basedOn w:val="35"/>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1">
    <w:name w:val="List Table 6 Colorful - Accent 5"/>
    <w:basedOn w:val="3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2">
    <w:name w:val="List Table 6 Colorful - Accent 6"/>
    <w:basedOn w:val="35"/>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43">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44">
    <w:name w:val="List Table 7 Colorful - Accent 1"/>
    <w:basedOn w:val="35"/>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45">
    <w:name w:val="List Table 7 Colorful - Accent 2"/>
    <w:basedOn w:val="35"/>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46">
    <w:name w:val="List Table 7 Colorful - Accent 3"/>
    <w:basedOn w:val="35"/>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7">
    <w:name w:val="List Table 7 Colorful - Accent 4"/>
    <w:basedOn w:val="35"/>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8">
    <w:name w:val="List Table 7 Colorful - Accent 5"/>
    <w:basedOn w:val="3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9">
    <w:name w:val="List Table 7 Colorful - Accent 6"/>
    <w:basedOn w:val="35"/>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0">
    <w:name w:val="Lined - Accent"/>
    <w:basedOn w:val="3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51">
    <w:name w:val="Lined - Accent 1"/>
    <w:basedOn w:val="35"/>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52">
    <w:name w:val="Lined - Accent 2"/>
    <w:basedOn w:val="35"/>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53">
    <w:name w:val="Lined - Accent 3"/>
    <w:basedOn w:val="35"/>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54">
    <w:name w:val="Lined - Accent 4"/>
    <w:basedOn w:val="35"/>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55">
    <w:name w:val="Lined - Accent 5"/>
    <w:basedOn w:val="3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56">
    <w:name w:val="Lined - Accent 6"/>
    <w:basedOn w:val="35"/>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57">
    <w:name w:val="Bordered &amp; Lined - Accent"/>
    <w:basedOn w:val="35"/>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58">
    <w:name w:val="Bordered &amp; Lined - Accent 1"/>
    <w:basedOn w:val="35"/>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59">
    <w:name w:val="Bordered &amp; Lined - Accent 2"/>
    <w:basedOn w:val="35"/>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60">
    <w:name w:val="Bordered &amp; Lined - Accent 3"/>
    <w:basedOn w:val="35"/>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61">
    <w:name w:val="Bordered &amp; Lined - Accent 4"/>
    <w:basedOn w:val="35"/>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62">
    <w:name w:val="Bordered &amp; Lined - Accent 5"/>
    <w:basedOn w:val="3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63">
    <w:name w:val="Bordered &amp; Lined - Accent 6"/>
    <w:basedOn w:val="35"/>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64">
    <w:name w:val="Bordered"/>
    <w:basedOn w:val="3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65">
    <w:name w:val="Bordered - Accent 1"/>
    <w:basedOn w:val="3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166">
    <w:name w:val="Bordered - Accent 2"/>
    <w:basedOn w:val="3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167">
    <w:name w:val="Bordered - Accent 3"/>
    <w:basedOn w:val="3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168">
    <w:name w:val="Bordered - Accent 4"/>
    <w:basedOn w:val="3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169">
    <w:name w:val="Bordered - Accent 5"/>
    <w:basedOn w:val="3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170">
    <w:name w:val="Bordered - Accent 6"/>
    <w:basedOn w:val="3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character" w:customStyle="1" w:styleId="171">
    <w:name w:val="Heading 1 Char"/>
    <w:basedOn w:val="37"/>
    <w:link w:val="4"/>
    <w:qFormat/>
    <w:uiPriority w:val="9"/>
    <w:rPr>
      <w:rFonts w:ascii="Arial" w:hAnsi="Arial" w:eastAsia="Arial" w:cs="Arial"/>
      <w:color w:val="376092" w:themeColor="accent1" w:themeShade="BF"/>
      <w:sz w:val="40"/>
      <w:szCs w:val="40"/>
    </w:rPr>
  </w:style>
  <w:style w:type="character" w:customStyle="1" w:styleId="172">
    <w:name w:val="Heading 2 Char"/>
    <w:basedOn w:val="37"/>
    <w:link w:val="5"/>
    <w:qFormat/>
    <w:uiPriority w:val="9"/>
    <w:rPr>
      <w:rFonts w:ascii="Arial" w:hAnsi="Arial" w:eastAsia="Arial" w:cs="Arial"/>
      <w:color w:val="376092" w:themeColor="accent1" w:themeShade="BF"/>
      <w:sz w:val="32"/>
      <w:szCs w:val="32"/>
    </w:rPr>
  </w:style>
  <w:style w:type="character" w:customStyle="1" w:styleId="173">
    <w:name w:val="Heading 3 Char"/>
    <w:basedOn w:val="37"/>
    <w:link w:val="6"/>
    <w:qFormat/>
    <w:uiPriority w:val="9"/>
    <w:rPr>
      <w:rFonts w:ascii="Arial" w:hAnsi="Arial" w:eastAsia="Arial" w:cs="Arial"/>
      <w:color w:val="376092" w:themeColor="accent1" w:themeShade="BF"/>
      <w:sz w:val="28"/>
      <w:szCs w:val="28"/>
    </w:rPr>
  </w:style>
  <w:style w:type="character" w:customStyle="1" w:styleId="174">
    <w:name w:val="Heading 4 Char"/>
    <w:basedOn w:val="37"/>
    <w:link w:val="7"/>
    <w:qFormat/>
    <w:uiPriority w:val="9"/>
    <w:rPr>
      <w:rFonts w:ascii="Arial" w:hAnsi="Arial" w:eastAsia="Arial" w:cs="Arial"/>
      <w:i/>
      <w:iCs/>
      <w:color w:val="376092" w:themeColor="accent1" w:themeShade="BF"/>
    </w:rPr>
  </w:style>
  <w:style w:type="character" w:customStyle="1" w:styleId="175">
    <w:name w:val="Heading 5 Char"/>
    <w:basedOn w:val="37"/>
    <w:link w:val="8"/>
    <w:qFormat/>
    <w:uiPriority w:val="9"/>
    <w:rPr>
      <w:rFonts w:ascii="Arial" w:hAnsi="Arial" w:eastAsia="Arial" w:cs="Arial"/>
      <w:color w:val="376092" w:themeColor="accent1" w:themeShade="BF"/>
    </w:rPr>
  </w:style>
  <w:style w:type="character" w:customStyle="1" w:styleId="176">
    <w:name w:val="Heading 6 Char"/>
    <w:basedOn w:val="37"/>
    <w:link w:val="9"/>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77">
    <w:name w:val="Heading 7 Char"/>
    <w:basedOn w:val="37"/>
    <w:link w:val="10"/>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78">
    <w:name w:val="Heading 8 Char"/>
    <w:basedOn w:val="37"/>
    <w:link w:val="11"/>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9">
    <w:name w:val="Heading 9 Char"/>
    <w:basedOn w:val="37"/>
    <w:link w:val="12"/>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80">
    <w:name w:val="Title Char"/>
    <w:basedOn w:val="37"/>
    <w:link w:val="33"/>
    <w:qFormat/>
    <w:uiPriority w:val="10"/>
    <w:rPr>
      <w:rFonts w:ascii="Arial" w:hAnsi="Arial" w:eastAsia="Arial" w:cs="Arial"/>
      <w:spacing w:val="-10"/>
      <w:sz w:val="56"/>
      <w:szCs w:val="56"/>
    </w:rPr>
  </w:style>
  <w:style w:type="character" w:customStyle="1" w:styleId="181">
    <w:name w:val="Subtitle Char"/>
    <w:basedOn w:val="37"/>
    <w:link w:val="27"/>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82">
    <w:name w:val="Quote"/>
    <w:basedOn w:val="1"/>
    <w:next w:val="1"/>
    <w:link w:val="18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83">
    <w:name w:val="Quote Char"/>
    <w:basedOn w:val="37"/>
    <w:link w:val="182"/>
    <w:qFormat/>
    <w:uiPriority w:val="29"/>
    <w:rPr>
      <w:i/>
      <w:iCs/>
      <w:color w:val="404040" w:themeColor="text1" w:themeTint="BF"/>
      <w14:textFill>
        <w14:solidFill>
          <w14:schemeClr w14:val="tx1">
            <w14:lumMod w14:val="75000"/>
            <w14:lumOff w14:val="25000"/>
          </w14:schemeClr>
        </w14:solidFill>
      </w14:textFill>
    </w:rPr>
  </w:style>
  <w:style w:type="paragraph" w:styleId="184">
    <w:name w:val="List Paragraph"/>
    <w:basedOn w:val="1"/>
    <w:qFormat/>
    <w:uiPriority w:val="34"/>
    <w:pPr>
      <w:ind w:left="720"/>
      <w:contextualSpacing/>
    </w:pPr>
  </w:style>
  <w:style w:type="character" w:customStyle="1" w:styleId="185">
    <w:name w:val="Intense Emphasis"/>
    <w:basedOn w:val="37"/>
    <w:qFormat/>
    <w:uiPriority w:val="21"/>
    <w:rPr>
      <w:i/>
      <w:iCs/>
      <w:color w:val="376092" w:themeColor="accent1" w:themeShade="BF"/>
    </w:rPr>
  </w:style>
  <w:style w:type="paragraph" w:styleId="186">
    <w:name w:val="Intense Quote"/>
    <w:basedOn w:val="1"/>
    <w:next w:val="1"/>
    <w:link w:val="187"/>
    <w:qFormat/>
    <w:uiPriority w:val="30"/>
    <w:pPr>
      <w:pBdr>
        <w:top w:val="single" w:color="366091" w:themeColor="accent1" w:themeShade="BF" w:sz="4" w:space="10"/>
        <w:bottom w:val="single" w:color="366091" w:themeColor="accent1" w:themeShade="BF" w:sz="4" w:space="10"/>
      </w:pBdr>
      <w:spacing w:before="360" w:after="360"/>
      <w:ind w:left="864" w:right="864"/>
      <w:jc w:val="center"/>
    </w:pPr>
    <w:rPr>
      <w:i/>
      <w:iCs/>
      <w:color w:val="376092" w:themeColor="accent1" w:themeShade="BF"/>
    </w:rPr>
  </w:style>
  <w:style w:type="character" w:customStyle="1" w:styleId="187">
    <w:name w:val="Intense Quote Char"/>
    <w:basedOn w:val="37"/>
    <w:link w:val="186"/>
    <w:qFormat/>
    <w:uiPriority w:val="30"/>
    <w:rPr>
      <w:i/>
      <w:iCs/>
      <w:color w:val="376092" w:themeColor="accent1" w:themeShade="BF"/>
    </w:rPr>
  </w:style>
  <w:style w:type="character" w:customStyle="1" w:styleId="188">
    <w:name w:val="Intense Reference"/>
    <w:basedOn w:val="37"/>
    <w:qFormat/>
    <w:uiPriority w:val="32"/>
    <w:rPr>
      <w:b/>
      <w:bCs/>
      <w:smallCaps/>
      <w:color w:val="376092" w:themeColor="accent1" w:themeShade="BF"/>
      <w:spacing w:val="5"/>
    </w:rPr>
  </w:style>
  <w:style w:type="paragraph" w:styleId="189">
    <w:name w:val="No Spacing"/>
    <w:basedOn w:val="1"/>
    <w:qFormat/>
    <w:uiPriority w:val="1"/>
    <w:pPr>
      <w:spacing w:after="0" w:line="240" w:lineRule="auto"/>
    </w:pPr>
  </w:style>
  <w:style w:type="character" w:customStyle="1" w:styleId="190">
    <w:name w:val="Subtle Emphasis"/>
    <w:basedOn w:val="37"/>
    <w:qFormat/>
    <w:uiPriority w:val="19"/>
    <w:rPr>
      <w:i/>
      <w:iCs/>
      <w:color w:val="404040" w:themeColor="text1" w:themeTint="BF"/>
      <w14:textFill>
        <w14:solidFill>
          <w14:schemeClr w14:val="tx1">
            <w14:lumMod w14:val="75000"/>
            <w14:lumOff w14:val="25000"/>
          </w14:schemeClr>
        </w14:solidFill>
      </w14:textFill>
    </w:rPr>
  </w:style>
  <w:style w:type="character" w:customStyle="1" w:styleId="191">
    <w:name w:val="Subtle Reference"/>
    <w:basedOn w:val="37"/>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92">
    <w:name w:val="Book Title"/>
    <w:basedOn w:val="37"/>
    <w:qFormat/>
    <w:uiPriority w:val="33"/>
    <w:rPr>
      <w:b/>
      <w:bCs/>
      <w:i/>
      <w:iCs/>
      <w:spacing w:val="5"/>
    </w:rPr>
  </w:style>
  <w:style w:type="character" w:customStyle="1" w:styleId="193">
    <w:name w:val="Header Char"/>
    <w:basedOn w:val="37"/>
    <w:link w:val="24"/>
    <w:qFormat/>
    <w:uiPriority w:val="99"/>
  </w:style>
  <w:style w:type="character" w:customStyle="1" w:styleId="194">
    <w:name w:val="Footer Char"/>
    <w:basedOn w:val="37"/>
    <w:link w:val="23"/>
    <w:qFormat/>
    <w:uiPriority w:val="99"/>
  </w:style>
  <w:style w:type="character" w:customStyle="1" w:styleId="195">
    <w:name w:val="Footnote Text Char"/>
    <w:basedOn w:val="37"/>
    <w:link w:val="28"/>
    <w:semiHidden/>
    <w:qFormat/>
    <w:uiPriority w:val="99"/>
    <w:rPr>
      <w:sz w:val="20"/>
      <w:szCs w:val="20"/>
    </w:rPr>
  </w:style>
  <w:style w:type="character" w:customStyle="1" w:styleId="196">
    <w:name w:val="Endnote Text Char"/>
    <w:basedOn w:val="37"/>
    <w:link w:val="22"/>
    <w:semiHidden/>
    <w:qFormat/>
    <w:uiPriority w:val="99"/>
    <w:rPr>
      <w:sz w:val="20"/>
      <w:szCs w:val="20"/>
    </w:rPr>
  </w:style>
  <w:style w:type="character" w:styleId="197">
    <w:name w:val="Placeholder Text"/>
    <w:basedOn w:val="37"/>
    <w:semiHidden/>
    <w:qFormat/>
    <w:uiPriority w:val="99"/>
    <w:rPr>
      <w:color w:val="666666"/>
    </w:rPr>
  </w:style>
  <w:style w:type="paragraph" w:customStyle="1" w:styleId="198">
    <w:name w:val="TOC Heading"/>
    <w:unhideWhenUsed/>
    <w:qFormat/>
    <w:uiPriority w:val="39"/>
    <w:rPr>
      <w:rFonts w:hint="default" w:ascii="Times New Roman" w:hAnsi="Times New Roman" w:eastAsia="宋体" w:cs="Times New Roman"/>
    </w:rPr>
  </w:style>
  <w:style w:type="paragraph" w:customStyle="1" w:styleId="199">
    <w:name w:val="标题 11"/>
    <w:basedOn w:val="1"/>
    <w:next w:val="1"/>
    <w:link w:val="207"/>
    <w:qFormat/>
    <w:uiPriority w:val="9"/>
    <w:pPr>
      <w:keepNext/>
      <w:keepLines/>
      <w:spacing w:before="340" w:after="330" w:line="578" w:lineRule="auto"/>
      <w:outlineLvl w:val="0"/>
    </w:pPr>
    <w:rPr>
      <w:b/>
      <w:bCs/>
      <w:sz w:val="44"/>
      <w:szCs w:val="44"/>
    </w:rPr>
  </w:style>
  <w:style w:type="paragraph" w:customStyle="1" w:styleId="200">
    <w:name w:val="标题 21"/>
    <w:basedOn w:val="1"/>
    <w:next w:val="1"/>
    <w:link w:val="208"/>
    <w:qFormat/>
    <w:uiPriority w:val="9"/>
    <w:pPr>
      <w:keepNext/>
      <w:keepLines/>
      <w:spacing w:before="260" w:after="260" w:line="416" w:lineRule="auto"/>
      <w:outlineLvl w:val="1"/>
    </w:pPr>
    <w:rPr>
      <w:rFonts w:ascii="Cambria" w:hAnsi="Cambria"/>
      <w:b/>
      <w:bCs/>
      <w:sz w:val="32"/>
      <w:szCs w:val="32"/>
    </w:rPr>
  </w:style>
  <w:style w:type="paragraph" w:customStyle="1" w:styleId="201">
    <w:name w:val="标题 41"/>
    <w:basedOn w:val="1"/>
    <w:next w:val="1"/>
    <w:qFormat/>
    <w:uiPriority w:val="0"/>
    <w:pPr>
      <w:keepNext/>
      <w:keepLines/>
      <w:spacing w:before="0" w:after="0" w:line="480" w:lineRule="exact"/>
      <w:ind w:firstLine="1640"/>
      <w:outlineLvl w:val="3"/>
    </w:pPr>
    <w:rPr>
      <w:bCs/>
    </w:rPr>
  </w:style>
  <w:style w:type="paragraph" w:customStyle="1" w:styleId="202">
    <w:name w:val="标题 51"/>
    <w:basedOn w:val="1"/>
    <w:next w:val="203"/>
    <w:link w:val="209"/>
    <w:qFormat/>
    <w:uiPriority w:val="9"/>
    <w:pPr>
      <w:keepNext/>
      <w:keepLines/>
      <w:spacing w:before="280" w:after="290" w:line="376" w:lineRule="auto"/>
      <w:outlineLvl w:val="4"/>
    </w:pPr>
    <w:rPr>
      <w:b/>
      <w:bCs/>
      <w:sz w:val="28"/>
      <w:szCs w:val="28"/>
    </w:rPr>
  </w:style>
  <w:style w:type="paragraph" w:customStyle="1" w:styleId="203">
    <w:name w:val="正文缩进1"/>
    <w:basedOn w:val="1"/>
    <w:qFormat/>
    <w:uiPriority w:val="0"/>
    <w:pPr>
      <w:ind w:firstLine="420"/>
    </w:pPr>
    <w:rPr>
      <w:szCs w:val="20"/>
    </w:rPr>
  </w:style>
  <w:style w:type="paragraph" w:customStyle="1" w:styleId="204">
    <w:name w:val="标题 81"/>
    <w:basedOn w:val="1"/>
    <w:next w:val="1"/>
    <w:link w:val="210"/>
    <w:qFormat/>
    <w:uiPriority w:val="9"/>
    <w:pPr>
      <w:keepNext/>
      <w:keepLines/>
      <w:spacing w:before="240" w:after="64" w:line="320" w:lineRule="auto"/>
      <w:outlineLvl w:val="7"/>
    </w:pPr>
    <w:rPr>
      <w:rFonts w:ascii="等线 Light" w:hAnsi="等线 Light" w:eastAsia="等线 Light"/>
      <w:sz w:val="24"/>
    </w:rPr>
  </w:style>
  <w:style w:type="character" w:customStyle="1" w:styleId="205">
    <w:name w:val="默认段落字体1"/>
    <w:link w:val="1"/>
    <w:unhideWhenUsed/>
    <w:qFormat/>
    <w:uiPriority w:val="1"/>
  </w:style>
  <w:style w:type="table" w:customStyle="1" w:styleId="206">
    <w:name w:val="普通表格1"/>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customStyle="1" w:styleId="207">
    <w:name w:val="标题 1 字符"/>
    <w:link w:val="199"/>
    <w:qFormat/>
    <w:uiPriority w:val="9"/>
    <w:rPr>
      <w:b/>
      <w:bCs/>
      <w:sz w:val="44"/>
      <w:szCs w:val="44"/>
    </w:rPr>
  </w:style>
  <w:style w:type="character" w:customStyle="1" w:styleId="208">
    <w:name w:val="标题 2 字符"/>
    <w:link w:val="200"/>
    <w:qFormat/>
    <w:uiPriority w:val="9"/>
    <w:rPr>
      <w:rFonts w:ascii="Cambria" w:hAnsi="Cambria" w:eastAsia="宋体" w:cs="Times New Roman"/>
      <w:b/>
      <w:bCs/>
      <w:sz w:val="32"/>
      <w:szCs w:val="32"/>
    </w:rPr>
  </w:style>
  <w:style w:type="character" w:customStyle="1" w:styleId="209">
    <w:name w:val="标题 5 字符"/>
    <w:link w:val="202"/>
    <w:semiHidden/>
    <w:qFormat/>
    <w:uiPriority w:val="9"/>
    <w:rPr>
      <w:rFonts w:ascii="Times New Roman" w:hAnsi="Times New Roman"/>
      <w:b/>
      <w:bCs/>
      <w:sz w:val="28"/>
      <w:szCs w:val="28"/>
    </w:rPr>
  </w:style>
  <w:style w:type="character" w:customStyle="1" w:styleId="210">
    <w:name w:val="标题 8 字符"/>
    <w:link w:val="204"/>
    <w:semiHidden/>
    <w:qFormat/>
    <w:uiPriority w:val="9"/>
    <w:rPr>
      <w:rFonts w:ascii="等线 Light" w:hAnsi="等线 Light" w:eastAsia="等线 Light" w:cs="Times New Roman"/>
      <w:sz w:val="24"/>
      <w:szCs w:val="24"/>
    </w:rPr>
  </w:style>
  <w:style w:type="paragraph" w:customStyle="1" w:styleId="211">
    <w:name w:val="索引 81"/>
    <w:basedOn w:val="1"/>
    <w:next w:val="1"/>
    <w:qFormat/>
    <w:uiPriority w:val="0"/>
    <w:pPr>
      <w:ind w:firstLine="139"/>
    </w:pPr>
  </w:style>
  <w:style w:type="paragraph" w:customStyle="1" w:styleId="212">
    <w:name w:val="列表编号1"/>
    <w:basedOn w:val="1"/>
    <w:qFormat/>
    <w:uiPriority w:val="0"/>
    <w:pPr>
      <w:widowControl/>
      <w:tabs>
        <w:tab w:val="left" w:pos="454"/>
        <w:tab w:val="left" w:pos="720"/>
        <w:tab w:val="left" w:pos="840"/>
      </w:tabs>
      <w:spacing w:after="50"/>
      <w:ind w:left="454" w:hanging="284"/>
      <w:jc w:val="left"/>
    </w:pPr>
    <w:rPr>
      <w:sz w:val="24"/>
      <w:szCs w:val="20"/>
    </w:rPr>
  </w:style>
  <w:style w:type="paragraph" w:customStyle="1" w:styleId="213">
    <w:name w:val="批注文字1"/>
    <w:basedOn w:val="1"/>
    <w:link w:val="214"/>
    <w:qFormat/>
    <w:uiPriority w:val="0"/>
    <w:pPr>
      <w:jc w:val="left"/>
    </w:pPr>
  </w:style>
  <w:style w:type="character" w:customStyle="1" w:styleId="214">
    <w:name w:val="批注文字 字符2"/>
    <w:link w:val="213"/>
    <w:qFormat/>
    <w:uiPriority w:val="0"/>
    <w:rPr>
      <w:rFonts w:ascii="Times New Roman" w:hAnsi="Times New Roman"/>
      <w:sz w:val="21"/>
      <w:szCs w:val="24"/>
    </w:rPr>
  </w:style>
  <w:style w:type="paragraph" w:customStyle="1" w:styleId="215">
    <w:name w:val="正文文本 31"/>
    <w:basedOn w:val="1"/>
    <w:link w:val="216"/>
    <w:unhideWhenUsed/>
    <w:qFormat/>
    <w:uiPriority w:val="99"/>
    <w:pPr>
      <w:spacing w:after="120"/>
    </w:pPr>
    <w:rPr>
      <w:sz w:val="16"/>
      <w:szCs w:val="16"/>
    </w:rPr>
  </w:style>
  <w:style w:type="character" w:customStyle="1" w:styleId="216">
    <w:name w:val="正文文本 3 字符"/>
    <w:link w:val="215"/>
    <w:semiHidden/>
    <w:qFormat/>
    <w:uiPriority w:val="99"/>
    <w:rPr>
      <w:sz w:val="16"/>
      <w:szCs w:val="16"/>
    </w:rPr>
  </w:style>
  <w:style w:type="paragraph" w:customStyle="1" w:styleId="217">
    <w:name w:val="正文文本1"/>
    <w:basedOn w:val="1"/>
    <w:link w:val="218"/>
    <w:unhideWhenUsed/>
    <w:qFormat/>
    <w:uiPriority w:val="0"/>
    <w:pPr>
      <w:spacing w:after="120"/>
    </w:pPr>
  </w:style>
  <w:style w:type="character" w:customStyle="1" w:styleId="218">
    <w:name w:val="正文文本 字符1"/>
    <w:link w:val="217"/>
    <w:qFormat/>
    <w:uiPriority w:val="0"/>
    <w:rPr>
      <w:rFonts w:ascii="Times New Roman" w:hAnsi="Times New Roman"/>
      <w:sz w:val="21"/>
      <w:szCs w:val="24"/>
    </w:rPr>
  </w:style>
  <w:style w:type="paragraph" w:customStyle="1" w:styleId="219">
    <w:name w:val="正文文本缩进1"/>
    <w:basedOn w:val="1"/>
    <w:link w:val="220"/>
    <w:qFormat/>
    <w:uiPriority w:val="0"/>
    <w:pPr>
      <w:ind w:firstLine="830"/>
    </w:pPr>
    <w:rPr>
      <w:rFonts w:ascii="仿宋_GB2312" w:eastAsia="仿宋_GB2312"/>
      <w:sz w:val="32"/>
      <w:szCs w:val="20"/>
    </w:rPr>
  </w:style>
  <w:style w:type="character" w:customStyle="1" w:styleId="220">
    <w:name w:val="正文文本缩进 字符"/>
    <w:link w:val="219"/>
    <w:qFormat/>
    <w:uiPriority w:val="0"/>
    <w:rPr>
      <w:rFonts w:ascii="仿宋_GB2312" w:hAnsi="Times New Roman" w:eastAsia="仿宋_GB2312" w:cs="Times New Roman"/>
      <w:sz w:val="32"/>
      <w:szCs w:val="20"/>
    </w:rPr>
  </w:style>
  <w:style w:type="paragraph" w:customStyle="1" w:styleId="221">
    <w:name w:val="列表 21"/>
    <w:basedOn w:val="1"/>
    <w:unhideWhenUsed/>
    <w:qFormat/>
    <w:uiPriority w:val="99"/>
    <w:pPr>
      <w:ind w:left="100" w:hanging="200"/>
      <w:contextualSpacing/>
    </w:pPr>
  </w:style>
  <w:style w:type="paragraph" w:customStyle="1" w:styleId="222">
    <w:name w:val="文本块1"/>
    <w:basedOn w:val="1"/>
    <w:qFormat/>
    <w:uiPriority w:val="0"/>
    <w:pPr>
      <w:ind w:left="420" w:right="33"/>
    </w:pPr>
    <w:rPr>
      <w:sz w:val="24"/>
      <w:szCs w:val="20"/>
    </w:rPr>
  </w:style>
  <w:style w:type="paragraph" w:customStyle="1" w:styleId="223">
    <w:name w:val="索引 41"/>
    <w:basedOn w:val="1"/>
    <w:next w:val="1"/>
    <w:semiHidden/>
    <w:qFormat/>
    <w:uiPriority w:val="99"/>
    <w:pPr>
      <w:ind w:left="600"/>
    </w:pPr>
    <w:rPr>
      <w:szCs w:val="21"/>
    </w:rPr>
  </w:style>
  <w:style w:type="character" w:customStyle="1" w:styleId="224">
    <w:name w:val="纯文本 字符3"/>
    <w:link w:val="45"/>
    <w:qFormat/>
    <w:uiPriority w:val="0"/>
    <w:rPr>
      <w:rFonts w:ascii="宋体" w:hAnsi="Courier New" w:eastAsia="宋体" w:cs="Courier New"/>
      <w:szCs w:val="21"/>
    </w:rPr>
  </w:style>
  <w:style w:type="paragraph" w:customStyle="1" w:styleId="225">
    <w:name w:val="日期1"/>
    <w:basedOn w:val="1"/>
    <w:next w:val="1"/>
    <w:link w:val="226"/>
    <w:unhideWhenUsed/>
    <w:qFormat/>
    <w:uiPriority w:val="99"/>
    <w:pPr>
      <w:ind w:left="100"/>
    </w:pPr>
  </w:style>
  <w:style w:type="character" w:customStyle="1" w:styleId="226">
    <w:name w:val="日期 字符"/>
    <w:link w:val="225"/>
    <w:semiHidden/>
    <w:qFormat/>
    <w:uiPriority w:val="99"/>
    <w:rPr>
      <w:rFonts w:ascii="Times New Roman" w:hAnsi="Times New Roman"/>
      <w:sz w:val="21"/>
      <w:szCs w:val="24"/>
    </w:rPr>
  </w:style>
  <w:style w:type="paragraph" w:customStyle="1" w:styleId="227">
    <w:name w:val="正文文本缩进 21"/>
    <w:basedOn w:val="1"/>
    <w:qFormat/>
    <w:uiPriority w:val="0"/>
    <w:pPr>
      <w:spacing w:after="120" w:line="480" w:lineRule="auto"/>
      <w:ind w:left="420"/>
    </w:pPr>
  </w:style>
  <w:style w:type="paragraph" w:customStyle="1" w:styleId="228">
    <w:name w:val="批注框文本1"/>
    <w:basedOn w:val="1"/>
    <w:semiHidden/>
    <w:qFormat/>
    <w:uiPriority w:val="0"/>
    <w:rPr>
      <w:sz w:val="18"/>
      <w:szCs w:val="18"/>
    </w:rPr>
  </w:style>
  <w:style w:type="paragraph" w:customStyle="1" w:styleId="229">
    <w:name w:val="页脚1"/>
    <w:basedOn w:val="1"/>
    <w:next w:val="1"/>
    <w:link w:val="230"/>
    <w:unhideWhenUsed/>
    <w:qFormat/>
    <w:uiPriority w:val="99"/>
    <w:pPr>
      <w:tabs>
        <w:tab w:val="center" w:pos="4153"/>
        <w:tab w:val="right" w:pos="8306"/>
      </w:tabs>
      <w:jc w:val="left"/>
    </w:pPr>
    <w:rPr>
      <w:sz w:val="18"/>
      <w:szCs w:val="18"/>
    </w:rPr>
  </w:style>
  <w:style w:type="character" w:customStyle="1" w:styleId="230">
    <w:name w:val="页脚 字符"/>
    <w:link w:val="229"/>
    <w:qFormat/>
    <w:uiPriority w:val="99"/>
    <w:rPr>
      <w:sz w:val="18"/>
      <w:szCs w:val="18"/>
    </w:rPr>
  </w:style>
  <w:style w:type="paragraph" w:customStyle="1" w:styleId="231">
    <w:name w:val="寄信人地址1"/>
    <w:basedOn w:val="1"/>
    <w:qFormat/>
    <w:uiPriority w:val="0"/>
    <w:pPr>
      <w:widowControl/>
      <w:spacing w:after="200"/>
      <w:jc w:val="left"/>
    </w:pPr>
    <w:rPr>
      <w:rFonts w:ascii="Arial" w:hAnsi="Arial" w:eastAsia="微软雅黑"/>
      <w:sz w:val="22"/>
      <w:szCs w:val="22"/>
    </w:rPr>
  </w:style>
  <w:style w:type="paragraph" w:customStyle="1" w:styleId="232">
    <w:name w:val="页眉1"/>
    <w:basedOn w:val="1"/>
    <w:link w:val="233"/>
    <w:unhideWhenUsed/>
    <w:qFormat/>
    <w:uiPriority w:val="99"/>
    <w:pPr>
      <w:pBdr>
        <w:bottom w:val="single" w:color="000000" w:sz="6" w:space="1"/>
      </w:pBdr>
      <w:tabs>
        <w:tab w:val="center" w:pos="4153"/>
        <w:tab w:val="right" w:pos="8306"/>
      </w:tabs>
      <w:jc w:val="center"/>
    </w:pPr>
    <w:rPr>
      <w:sz w:val="18"/>
      <w:szCs w:val="18"/>
    </w:rPr>
  </w:style>
  <w:style w:type="character" w:customStyle="1" w:styleId="233">
    <w:name w:val="页眉 字符"/>
    <w:link w:val="232"/>
    <w:qFormat/>
    <w:uiPriority w:val="99"/>
    <w:rPr>
      <w:sz w:val="18"/>
      <w:szCs w:val="18"/>
    </w:rPr>
  </w:style>
  <w:style w:type="paragraph" w:customStyle="1" w:styleId="234">
    <w:name w:val="目录 11"/>
    <w:basedOn w:val="1"/>
    <w:next w:val="1"/>
    <w:unhideWhenUsed/>
    <w:qFormat/>
    <w:uiPriority w:val="39"/>
  </w:style>
  <w:style w:type="paragraph" w:customStyle="1" w:styleId="235">
    <w:name w:val="目录 21"/>
    <w:basedOn w:val="1"/>
    <w:next w:val="1"/>
    <w:unhideWhenUsed/>
    <w:qFormat/>
    <w:uiPriority w:val="39"/>
    <w:pPr>
      <w:tabs>
        <w:tab w:val="right" w:leader="dot" w:pos="8296"/>
      </w:tabs>
      <w:ind w:left="420"/>
    </w:pPr>
  </w:style>
  <w:style w:type="paragraph" w:customStyle="1" w:styleId="236">
    <w:name w:val="普通(网站)1"/>
    <w:basedOn w:val="1"/>
    <w:unhideWhenUsed/>
    <w:qFormat/>
    <w:uiPriority w:val="99"/>
    <w:pPr>
      <w:spacing w:before="0" w:beforeAutospacing="0" w:after="0" w:afterAutospacing="0"/>
      <w:ind w:left="0" w:right="0"/>
      <w:jc w:val="both"/>
    </w:pPr>
    <w:rPr>
      <w:rFonts w:ascii="Calibri" w:hAnsi="Calibri" w:cs="Calibri"/>
      <w:sz w:val="24"/>
      <w:szCs w:val="24"/>
      <w:lang w:val="en-US" w:eastAsia="zh-CN" w:bidi="ar"/>
    </w:rPr>
  </w:style>
  <w:style w:type="paragraph" w:customStyle="1" w:styleId="237">
    <w:name w:val="标题1"/>
    <w:basedOn w:val="1"/>
    <w:next w:val="1"/>
    <w:qFormat/>
    <w:uiPriority w:val="0"/>
    <w:pPr>
      <w:spacing w:before="240" w:after="60"/>
      <w:jc w:val="center"/>
      <w:outlineLvl w:val="0"/>
    </w:pPr>
    <w:rPr>
      <w:rFonts w:ascii="Arial" w:hAnsi="Arial" w:cs="Arial"/>
      <w:b/>
      <w:bCs/>
      <w:sz w:val="32"/>
      <w:szCs w:val="32"/>
    </w:rPr>
  </w:style>
  <w:style w:type="paragraph" w:customStyle="1" w:styleId="238">
    <w:name w:val="批注主题1"/>
    <w:basedOn w:val="213"/>
    <w:next w:val="213"/>
    <w:link w:val="239"/>
    <w:qFormat/>
    <w:uiPriority w:val="99"/>
    <w:rPr>
      <w:b/>
      <w:bCs/>
    </w:rPr>
  </w:style>
  <w:style w:type="character" w:customStyle="1" w:styleId="239">
    <w:name w:val="批注主题 字符"/>
    <w:link w:val="238"/>
    <w:qFormat/>
    <w:uiPriority w:val="99"/>
    <w:rPr>
      <w:rFonts w:ascii="Times New Roman" w:hAnsi="Times New Roman"/>
      <w:b/>
      <w:bCs/>
      <w:sz w:val="21"/>
      <w:szCs w:val="24"/>
    </w:rPr>
  </w:style>
  <w:style w:type="paragraph" w:customStyle="1" w:styleId="240">
    <w:name w:val="正文首行缩进1"/>
    <w:basedOn w:val="217"/>
    <w:next w:val="217"/>
    <w:qFormat/>
    <w:uiPriority w:val="0"/>
    <w:pPr>
      <w:spacing w:after="120" w:line="240" w:lineRule="auto"/>
      <w:ind w:firstLine="420"/>
    </w:pPr>
    <w:rPr>
      <w:sz w:val="21"/>
    </w:rPr>
  </w:style>
  <w:style w:type="paragraph" w:customStyle="1" w:styleId="241">
    <w:name w:val="正文首行缩进 21"/>
    <w:basedOn w:val="219"/>
    <w:next w:val="203"/>
    <w:qFormat/>
    <w:uiPriority w:val="99"/>
    <w:pPr>
      <w:widowControl/>
      <w:spacing w:after="0" w:line="360" w:lineRule="auto"/>
      <w:ind w:left="-358" w:firstLine="560"/>
      <w:jc w:val="left"/>
    </w:pPr>
    <w:rPr>
      <w:sz w:val="28"/>
    </w:rPr>
  </w:style>
  <w:style w:type="table" w:customStyle="1" w:styleId="242">
    <w:name w:val="网格型1"/>
    <w:basedOn w:val="20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customStyle="1" w:styleId="243">
    <w:name w:val="要点1"/>
    <w:basedOn w:val="205"/>
    <w:link w:val="1"/>
    <w:qFormat/>
    <w:uiPriority w:val="22"/>
    <w:rPr>
      <w:b/>
    </w:rPr>
  </w:style>
  <w:style w:type="character" w:customStyle="1" w:styleId="244">
    <w:name w:val="尾注引用1"/>
    <w:link w:val="1"/>
    <w:unhideWhenUsed/>
    <w:qFormat/>
    <w:uiPriority w:val="99"/>
    <w:rPr>
      <w:vertAlign w:val="superscript"/>
    </w:rPr>
  </w:style>
  <w:style w:type="character" w:customStyle="1" w:styleId="245">
    <w:name w:val="强调1"/>
    <w:link w:val="1"/>
    <w:qFormat/>
    <w:uiPriority w:val="20"/>
    <w:rPr>
      <w:i/>
    </w:rPr>
  </w:style>
  <w:style w:type="character" w:customStyle="1" w:styleId="246">
    <w:name w:val="超链接1"/>
    <w:link w:val="1"/>
    <w:unhideWhenUsed/>
    <w:qFormat/>
    <w:uiPriority w:val="99"/>
    <w:rPr>
      <w:color w:val="0000FF"/>
      <w:u w:val="single"/>
    </w:rPr>
  </w:style>
  <w:style w:type="character" w:customStyle="1" w:styleId="247">
    <w:name w:val="批注引用1"/>
    <w:link w:val="1"/>
    <w:qFormat/>
    <w:uiPriority w:val="0"/>
    <w:rPr>
      <w:sz w:val="21"/>
      <w:szCs w:val="21"/>
    </w:rPr>
  </w:style>
  <w:style w:type="paragraph" w:customStyle="1" w:styleId="248">
    <w:name w:val="Heading21"/>
    <w:basedOn w:val="1"/>
    <w:next w:val="1"/>
    <w:qFormat/>
    <w:uiPriority w:val="0"/>
    <w:pPr>
      <w:keepNext/>
      <w:keepLines/>
      <w:spacing w:before="260" w:after="260" w:line="416" w:lineRule="auto"/>
    </w:pPr>
    <w:rPr>
      <w:rFonts w:ascii="Arial" w:hAnsi="Arial" w:eastAsia="黑体" w:cs="Times New Roman"/>
      <w:b/>
      <w:bCs/>
      <w:sz w:val="32"/>
      <w:szCs w:val="32"/>
    </w:rPr>
  </w:style>
  <w:style w:type="character" w:customStyle="1" w:styleId="249">
    <w:name w:val="纯文本 Char"/>
    <w:link w:val="1"/>
    <w:qFormat/>
    <w:uiPriority w:val="0"/>
    <w:rPr>
      <w:rFonts w:ascii="宋体" w:hAnsi="Courier New" w:eastAsia="宋体" w:cs="Courier New"/>
      <w:szCs w:val="21"/>
    </w:rPr>
  </w:style>
  <w:style w:type="character" w:customStyle="1" w:styleId="250">
    <w:name w:val="批注文字 Char"/>
    <w:link w:val="1"/>
    <w:qFormat/>
    <w:uiPriority w:val="0"/>
    <w:rPr>
      <w:rFonts w:ascii="Times New Roman" w:hAnsi="Times New Roman"/>
      <w:sz w:val="21"/>
      <w:szCs w:val="24"/>
    </w:rPr>
  </w:style>
  <w:style w:type="character" w:customStyle="1" w:styleId="251">
    <w:name w:val="批注文字 Char2"/>
    <w:link w:val="1"/>
    <w:qFormat/>
    <w:uiPriority w:val="0"/>
    <w:rPr>
      <w:rFonts w:ascii="Times New Roman" w:hAnsi="Times New Roman"/>
      <w:sz w:val="21"/>
      <w:szCs w:val="24"/>
    </w:rPr>
  </w:style>
  <w:style w:type="character" w:customStyle="1" w:styleId="252">
    <w:name w:val="apple-style-span"/>
    <w:link w:val="1"/>
    <w:qFormat/>
    <w:uiPriority w:val="0"/>
  </w:style>
  <w:style w:type="character" w:customStyle="1" w:styleId="253">
    <w:name w:val="正文文本 (26) + 间距 0 pt"/>
    <w:link w:val="1"/>
    <w:qFormat/>
    <w:uiPriority w:val="0"/>
    <w:rPr>
      <w:rFonts w:ascii="宋体" w:hAnsi="宋体" w:eastAsia="宋体" w:cs="宋体"/>
      <w:color w:val="000000"/>
      <w:spacing w:val="0"/>
      <w:position w:val="0"/>
      <w:sz w:val="22"/>
      <w:szCs w:val="22"/>
      <w:u w:val="none"/>
      <w:lang w:val="zh-CN" w:eastAsia="zh-CN" w:bidi="zh-CN"/>
    </w:rPr>
  </w:style>
  <w:style w:type="character" w:customStyle="1" w:styleId="254">
    <w:name w:val="标题 1 字符1"/>
    <w:link w:val="1"/>
    <w:qFormat/>
    <w:uiPriority w:val="0"/>
    <w:rPr>
      <w:b/>
      <w:bCs/>
      <w:sz w:val="44"/>
      <w:szCs w:val="44"/>
    </w:rPr>
  </w:style>
  <w:style w:type="character" w:customStyle="1" w:styleId="255">
    <w:name w:val="textcontents"/>
    <w:link w:val="1"/>
    <w:qFormat/>
    <w:uiPriority w:val="0"/>
  </w:style>
  <w:style w:type="character" w:customStyle="1" w:styleId="256">
    <w:name w:val="标题 2 Char"/>
    <w:link w:val="1"/>
    <w:qFormat/>
    <w:uiPriority w:val="9"/>
    <w:rPr>
      <w:rFonts w:ascii="Cambria" w:hAnsi="Cambria" w:eastAsia="宋体" w:cs="Times New Roman"/>
      <w:b/>
      <w:bCs/>
      <w:sz w:val="32"/>
      <w:szCs w:val="32"/>
    </w:rPr>
  </w:style>
  <w:style w:type="character" w:customStyle="1" w:styleId="257">
    <w:name w:val="批注文字 字符"/>
    <w:link w:val="1"/>
    <w:qFormat/>
    <w:uiPriority w:val="0"/>
    <w:rPr>
      <w:rFonts w:ascii="Times New Roman" w:hAnsi="Times New Roman"/>
      <w:sz w:val="21"/>
      <w:szCs w:val="24"/>
    </w:rPr>
  </w:style>
  <w:style w:type="character" w:customStyle="1" w:styleId="258">
    <w:name w:val="正文文本 Char"/>
    <w:link w:val="1"/>
    <w:qFormat/>
    <w:uiPriority w:val="0"/>
    <w:rPr>
      <w:rFonts w:ascii="Times New Roman" w:hAnsi="Times New Roman"/>
      <w:sz w:val="21"/>
      <w:szCs w:val="24"/>
    </w:rPr>
  </w:style>
  <w:style w:type="character" w:customStyle="1" w:styleId="259">
    <w:name w:val="纯文本 字符2"/>
    <w:link w:val="1"/>
    <w:qFormat/>
    <w:uiPriority w:val="0"/>
    <w:rPr>
      <w:rFonts w:ascii="宋体" w:hAnsi="Courier New" w:eastAsia="宋体" w:cs="Courier New"/>
      <w:szCs w:val="21"/>
    </w:rPr>
  </w:style>
  <w:style w:type="character" w:customStyle="1" w:styleId="260">
    <w:name w:val="正文文本 字符"/>
    <w:link w:val="1"/>
    <w:qFormat/>
    <w:uiPriority w:val="0"/>
    <w:rPr>
      <w:rFonts w:ascii="Times New Roman" w:hAnsi="Times New Roman"/>
      <w:sz w:val="21"/>
      <w:szCs w:val="24"/>
    </w:rPr>
  </w:style>
  <w:style w:type="character" w:customStyle="1" w:styleId="261">
    <w:name w:val="纯文本 字符"/>
    <w:link w:val="1"/>
    <w:qFormat/>
    <w:uiPriority w:val="0"/>
    <w:rPr>
      <w:rFonts w:ascii="宋体" w:hAnsi="Courier New" w:eastAsia="宋体" w:cs="Courier New"/>
      <w:szCs w:val="21"/>
    </w:rPr>
  </w:style>
  <w:style w:type="character" w:customStyle="1" w:styleId="262">
    <w:name w:val="标题 8 Char"/>
    <w:link w:val="1"/>
    <w:qFormat/>
    <w:uiPriority w:val="0"/>
    <w:rPr>
      <w:rFonts w:ascii="Arial" w:hAnsi="Arial" w:eastAsia="黑体"/>
      <w:sz w:val="24"/>
      <w:szCs w:val="24"/>
    </w:rPr>
  </w:style>
  <w:style w:type="character" w:customStyle="1" w:styleId="263">
    <w:name w:val="纯文本 字符1"/>
    <w:link w:val="1"/>
    <w:qFormat/>
    <w:uiPriority w:val="0"/>
    <w:rPr>
      <w:rFonts w:ascii="宋体" w:hAnsi="Courier New"/>
    </w:rPr>
  </w:style>
  <w:style w:type="character" w:customStyle="1" w:styleId="264">
    <w:name w:val="批注文字 字符1"/>
    <w:link w:val="1"/>
    <w:qFormat/>
    <w:uiPriority w:val="0"/>
    <w:rPr>
      <w:rFonts w:ascii="Times New Roman" w:hAnsi="Times New Roman"/>
      <w:sz w:val="21"/>
      <w:szCs w:val="24"/>
    </w:rPr>
  </w:style>
  <w:style w:type="character" w:customStyle="1" w:styleId="265">
    <w:name w:val="正文2 Char Char"/>
    <w:link w:val="266"/>
    <w:qFormat/>
    <w:uiPriority w:val="0"/>
    <w:rPr>
      <w:sz w:val="24"/>
    </w:rPr>
  </w:style>
  <w:style w:type="paragraph" w:customStyle="1" w:styleId="266">
    <w:name w:val="正文2"/>
    <w:basedOn w:val="1"/>
    <w:link w:val="265"/>
    <w:qFormat/>
    <w:uiPriority w:val="0"/>
    <w:pPr>
      <w:spacing w:before="156" w:line="360" w:lineRule="auto"/>
      <w:ind w:firstLine="510"/>
    </w:pPr>
    <w:rPr>
      <w:sz w:val="24"/>
      <w:szCs w:val="20"/>
    </w:rPr>
  </w:style>
  <w:style w:type="paragraph" w:customStyle="1" w:styleId="267">
    <w:name w:val="默认段落字体 Para Char Char Char Char Char Char Char Char Char1 Char Char Char Char"/>
    <w:basedOn w:val="1"/>
    <w:qFormat/>
    <w:uiPriority w:val="0"/>
    <w:rPr>
      <w:rFonts w:ascii="Tahoma" w:hAnsi="Tahoma"/>
      <w:sz w:val="24"/>
      <w:szCs w:val="20"/>
    </w:rPr>
  </w:style>
  <w:style w:type="paragraph" w:customStyle="1" w:styleId="268">
    <w:name w:val="表内文字"/>
    <w:basedOn w:val="1"/>
    <w:qFormat/>
    <w:uiPriority w:val="0"/>
    <w:pPr>
      <w:spacing w:before="50" w:after="50"/>
      <w:jc w:val="center"/>
    </w:pPr>
    <w:rPr>
      <w:rFonts w:ascii="仿宋_GB2312" w:hAnsi="宋体" w:eastAsia="仿宋_GB2312"/>
      <w:b/>
      <w:color w:val="000000"/>
      <w:sz w:val="32"/>
      <w:szCs w:val="32"/>
    </w:rPr>
  </w:style>
  <w:style w:type="paragraph" w:customStyle="1" w:styleId="269">
    <w:name w:val="列表段落"/>
    <w:basedOn w:val="1"/>
    <w:qFormat/>
    <w:uiPriority w:val="34"/>
    <w:pPr>
      <w:ind w:firstLine="420"/>
    </w:pPr>
  </w:style>
  <w:style w:type="paragraph" w:customStyle="1" w:styleId="270">
    <w:name w:val="Table Paragraph"/>
    <w:basedOn w:val="1"/>
    <w:qFormat/>
    <w:uiPriority w:val="1"/>
    <w:pPr>
      <w:jc w:val="left"/>
    </w:pPr>
    <w:rPr>
      <w:rFonts w:ascii="Calibri" w:hAnsi="Calibri"/>
      <w:sz w:val="22"/>
      <w:szCs w:val="22"/>
      <w:lang w:eastAsia="en-US"/>
    </w:rPr>
  </w:style>
  <w:style w:type="paragraph" w:customStyle="1" w:styleId="271">
    <w:name w:val="N.表格文字正文"/>
    <w:basedOn w:val="1"/>
    <w:qFormat/>
    <w:uiPriority w:val="0"/>
    <w:rPr>
      <w:rFonts w:eastAsia="华文细黑"/>
    </w:rPr>
  </w:style>
  <w:style w:type="paragraph" w:customStyle="1" w:styleId="272">
    <w:name w:val="UserStyle_27"/>
    <w:basedOn w:val="1"/>
    <w:qFormat/>
    <w:uiPriority w:val="0"/>
    <w:pPr>
      <w:ind w:firstLine="420"/>
    </w:pPr>
  </w:style>
  <w:style w:type="paragraph" w:customStyle="1" w:styleId="273">
    <w:name w:val="自有正文缩进"/>
    <w:basedOn w:val="274"/>
    <w:qFormat/>
    <w:uiPriority w:val="0"/>
    <w:pPr>
      <w:ind w:firstLine="964"/>
    </w:pPr>
  </w:style>
  <w:style w:type="paragraph" w:customStyle="1" w:styleId="274">
    <w:name w:val="自有正文"/>
    <w:qFormat/>
    <w:uiPriority w:val="0"/>
    <w:pPr>
      <w:spacing w:after="160" w:line="360" w:lineRule="auto"/>
    </w:pPr>
    <w:rPr>
      <w:rFonts w:hint="default" w:ascii="Arial" w:hAnsi="Arial" w:eastAsia="宋体" w:cs="Arial"/>
      <w:sz w:val="24"/>
      <w:szCs w:val="22"/>
      <w:lang w:val="en-US" w:eastAsia="zh-CN" w:bidi="ar-SA"/>
    </w:rPr>
  </w:style>
  <w:style w:type="paragraph" w:customStyle="1" w:styleId="275">
    <w:name w:val="表格文字"/>
    <w:basedOn w:val="219"/>
    <w:qFormat/>
    <w:uiPriority w:val="99"/>
    <w:pPr>
      <w:spacing w:line="420" w:lineRule="atLeast"/>
      <w:jc w:val="left"/>
    </w:pPr>
    <w:rPr>
      <w:rFonts w:hAnsi="Calibri" w:cs="Times New Roman"/>
    </w:rPr>
  </w:style>
  <w:style w:type="paragraph" w:customStyle="1" w:styleId="276">
    <w:name w:val="列出段落1"/>
    <w:basedOn w:val="1"/>
    <w:qFormat/>
    <w:uiPriority w:val="34"/>
    <w:pPr>
      <w:ind w:firstLine="420"/>
    </w:pPr>
    <w:rPr>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广西云龙招</Company>
  <Pages>72</Pages>
  <Words>15504</Words>
  <Characters>16790</Characters>
  <TotalTime>3</TotalTime>
  <ScaleCrop>false</ScaleCrop>
  <LinksUpToDate>false</LinksUpToDate>
  <CharactersWithSpaces>17066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2024-04-23T19:26:00Z</dcterms:created>
  <dc:creator>唐</dc:creator>
  <cp:lastModifiedBy> 不计较</cp:lastModifiedBy>
  <dcterms:modified xsi:type="dcterms:W3CDTF">2026-07-17T03:49:31Z</dcterms:modified>
  <dc:title>竞争性谈判</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eyJoZGlkIjoiZDg1ZjYxYTJlZDQyZjM2MDVkMTRjOTNlMmEyMjI1MzEiLCJ1c2VySWQiOiIyNjQ0MTY5NTkifQ==</vt:lpwstr>
  </property>
  <property fmtid="{D5CDD505-2E9C-101B-9397-08002B2CF9AE}" pid="3" name="KSOProductBuildVer">
    <vt:lpwstr>2052-12.1.0.26895</vt:lpwstr>
  </property>
  <property fmtid="{D5CDD505-2E9C-101B-9397-08002B2CF9AE}" pid="4" name="ICV">
    <vt:lpwstr>87EECCB00B7A4C058939EA7A46BE5723_13</vt:lpwstr>
  </property>
</Properties>
</file>